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BE3E" w14:textId="2AC0889C" w:rsidR="00E1486D" w:rsidRPr="00455B98" w:rsidRDefault="000D10CB" w:rsidP="004B61AC">
      <w:pPr>
        <w:pStyle w:val="berschrift1"/>
        <w:spacing w:before="120" w:after="120" w:line="240" w:lineRule="auto"/>
        <w:rPr>
          <w:b/>
          <w:bCs/>
          <w:color w:val="auto"/>
          <w:sz w:val="72"/>
          <w:szCs w:val="72"/>
          <w:lang w:val="fr-FR"/>
        </w:rPr>
      </w:pPr>
      <w:r w:rsidRPr="00455B98">
        <w:rPr>
          <w:b/>
          <w:bCs/>
          <w:color w:val="auto"/>
          <w:sz w:val="56"/>
          <w:szCs w:val="56"/>
          <w:lang w:val="fr-FR"/>
        </w:rPr>
        <w:t>Check-list «Accessibilité physique: vos locaux sont-ils accessibles?»</w:t>
      </w:r>
      <w:r w:rsidR="00A12617" w:rsidRPr="00455B98">
        <w:rPr>
          <w:rStyle w:val="Funotenzeichen"/>
          <w:b/>
          <w:bCs/>
          <w:color w:val="auto"/>
          <w:sz w:val="56"/>
          <w:szCs w:val="56"/>
          <w:lang w:val="fr-FR"/>
        </w:rPr>
        <w:footnoteReference w:id="1"/>
      </w:r>
    </w:p>
    <w:p w14:paraId="63041B6E" w14:textId="6C10ADC2" w:rsidR="00AA16A5" w:rsidRPr="002C1D08" w:rsidRDefault="002C1D08" w:rsidP="004B61AC">
      <w:pPr>
        <w:spacing w:before="120" w:after="120" w:line="360" w:lineRule="auto"/>
        <w:rPr>
          <w:sz w:val="28"/>
          <w:szCs w:val="28"/>
          <w:lang w:val="fr-CH"/>
        </w:rPr>
      </w:pPr>
      <w:r w:rsidRPr="002C1D08">
        <w:rPr>
          <w:sz w:val="28"/>
          <w:szCs w:val="28"/>
          <w:lang w:val="fr-FR"/>
        </w:rPr>
        <w:t>L’accessibilité physique signifie que les bâtiments et les pièces peuvent être utilisés sans obstacles par les personnes en situation de handicap, et qu’elles peuvent s’y orienter facilement. La check-list suivante vous aide à évaluer dans quelle mesure l’accessibilité physique est assurée dans votre administration.</w:t>
      </w:r>
    </w:p>
    <w:p w14:paraId="31414D89" w14:textId="0651820F" w:rsidR="005751E2" w:rsidRPr="00455B98" w:rsidRDefault="00BC4221" w:rsidP="00D5077D">
      <w:pPr>
        <w:pStyle w:val="berschrift2"/>
        <w:spacing w:before="480" w:after="120"/>
        <w:rPr>
          <w:b/>
          <w:bCs/>
          <w:color w:val="auto"/>
          <w:sz w:val="36"/>
          <w:szCs w:val="36"/>
          <w:lang w:val="fr-FR"/>
        </w:rPr>
      </w:pPr>
      <w:r w:rsidRPr="00455B98">
        <w:rPr>
          <w:b/>
          <w:bCs/>
          <w:color w:val="auto"/>
          <w:sz w:val="36"/>
          <w:szCs w:val="36"/>
          <w:lang w:val="fr-FR"/>
        </w:rPr>
        <w:t>Arrivée &amp; accueil</w:t>
      </w:r>
    </w:p>
    <w:tbl>
      <w:tblPr>
        <w:tblStyle w:val="Tabellenraster"/>
        <w:tblW w:w="8927" w:type="dxa"/>
        <w:tblLook w:val="0400" w:firstRow="0" w:lastRow="0" w:firstColumn="0" w:lastColumn="0" w:noHBand="0" w:noVBand="1"/>
        <w:tblCaption w:val="layout"/>
      </w:tblPr>
      <w:tblGrid>
        <w:gridCol w:w="8075"/>
        <w:gridCol w:w="852"/>
      </w:tblGrid>
      <w:tr w:rsidR="004B61AC" w:rsidRPr="00455B98" w14:paraId="1E5102BC"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1FFD566E" w14:textId="3E24887E" w:rsidR="004B61AC" w:rsidRPr="00455B98" w:rsidRDefault="005801A1" w:rsidP="004B61AC">
            <w:pPr>
              <w:spacing w:line="360" w:lineRule="auto"/>
              <w:rPr>
                <w:sz w:val="28"/>
                <w:szCs w:val="28"/>
                <w:lang w:val="fr-FR"/>
              </w:rPr>
            </w:pPr>
            <w:r w:rsidRPr="00455B98">
              <w:rPr>
                <w:b/>
                <w:bCs/>
                <w:sz w:val="28"/>
                <w:szCs w:val="28"/>
                <w:lang w:val="fr-FR"/>
              </w:rPr>
              <w:t>Vérification du placement précis du point cartographique</w:t>
            </w:r>
            <w:r w:rsidRPr="00455B98">
              <w:rPr>
                <w:sz w:val="28"/>
                <w:szCs w:val="28"/>
                <w:lang w:val="fr-FR"/>
              </w:rPr>
              <w:t xml:space="preserve"> dans Google </w:t>
            </w:r>
            <w:proofErr w:type="spellStart"/>
            <w:r w:rsidRPr="00455B98">
              <w:rPr>
                <w:sz w:val="28"/>
                <w:szCs w:val="28"/>
                <w:lang w:val="fr-FR"/>
              </w:rPr>
              <w:t>Maps</w:t>
            </w:r>
            <w:proofErr w:type="spellEnd"/>
            <w:r w:rsidRPr="00455B98">
              <w:rPr>
                <w:sz w:val="28"/>
                <w:szCs w:val="28"/>
                <w:lang w:val="fr-FR"/>
              </w:rPr>
              <w:t xml:space="preserve">, à la porte d’entrée principale (et non à l’arrière du bâtiment, par exemple). Pour proposer une modification: rechercher le lieu dans Google </w:t>
            </w:r>
            <w:proofErr w:type="spellStart"/>
            <w:r w:rsidRPr="00455B98">
              <w:rPr>
                <w:sz w:val="28"/>
                <w:szCs w:val="28"/>
                <w:lang w:val="fr-FR"/>
              </w:rPr>
              <w:t>Maps</w:t>
            </w:r>
            <w:proofErr w:type="spellEnd"/>
            <w:r w:rsidRPr="00455B98">
              <w:rPr>
                <w:sz w:val="28"/>
                <w:szCs w:val="28"/>
                <w:lang w:val="fr-FR"/>
              </w:rPr>
              <w:t>, cliquer sur «Proposer une modification», corriger</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54E9899C" w14:textId="35E361F0" w:rsidR="004B61AC"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Placement précis du point cartographique "/>
                <w:tag w:val="Placement précis du point cartographique "/>
                <w:id w:val="581647690"/>
                <w14:checkbox>
                  <w14:checked w14:val="0"/>
                  <w14:checkedState w14:val="2612" w14:font="MS Gothic"/>
                  <w14:uncheckedState w14:val="2610" w14:font="MS Gothic"/>
                </w14:checkbox>
              </w:sdtPr>
              <w:sdtEndPr/>
              <w:sdtContent>
                <w:r w:rsidR="00616BDC">
                  <w:rPr>
                    <w:rFonts w:ascii="MS Gothic" w:eastAsia="MS Gothic" w:hAnsi="MS Gothic" w:hint="eastAsia"/>
                    <w:sz w:val="48"/>
                    <w:szCs w:val="48"/>
                    <w:lang w:val="fr-FR"/>
                  </w:rPr>
                  <w:t>☐</w:t>
                </w:r>
              </w:sdtContent>
            </w:sdt>
          </w:p>
        </w:tc>
      </w:tr>
      <w:tr w:rsidR="004B61AC" w:rsidRPr="00455B98" w14:paraId="002B09E2"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24E2B0B4" w14:textId="00D90F51" w:rsidR="004B61AC" w:rsidRPr="00455B98" w:rsidRDefault="00EA4B71" w:rsidP="004B61AC">
            <w:pPr>
              <w:spacing w:line="360" w:lineRule="auto"/>
              <w:rPr>
                <w:sz w:val="28"/>
                <w:szCs w:val="28"/>
                <w:lang w:val="fr-FR"/>
              </w:rPr>
            </w:pPr>
            <w:r w:rsidRPr="00455B98">
              <w:rPr>
                <w:b/>
                <w:bCs/>
                <w:sz w:val="28"/>
                <w:szCs w:val="28"/>
                <w:lang w:val="fr-FR"/>
              </w:rPr>
              <w:lastRenderedPageBreak/>
              <w:t>Envoi d’itinéraires</w:t>
            </w:r>
            <w:r w:rsidRPr="00455B98">
              <w:rPr>
                <w:sz w:val="28"/>
                <w:szCs w:val="28"/>
                <w:lang w:val="fr-FR"/>
              </w:rPr>
              <w:t xml:space="preserve"> pour arriver jusqu’à la réception en langage simplifié / FALC, avec pictogrammes ou images sur demande, selon les besoins individuels</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27A1AB08" w14:textId="3FDA1D08" w:rsidR="004B61AC"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Envoi d’itinéraires "/>
                <w:tag w:val="Envoi d’itinéraires "/>
                <w:id w:val="-108746828"/>
                <w14:checkbox>
                  <w14:checked w14:val="0"/>
                  <w14:checkedState w14:val="2612" w14:font="MS Gothic"/>
                  <w14:uncheckedState w14:val="2610" w14:font="MS Gothic"/>
                </w14:checkbox>
              </w:sdtPr>
              <w:sdtEndPr/>
              <w:sdtContent>
                <w:r w:rsidR="004326BD">
                  <w:rPr>
                    <w:rFonts w:ascii="MS Gothic" w:eastAsia="MS Gothic" w:hAnsi="MS Gothic" w:hint="eastAsia"/>
                    <w:sz w:val="48"/>
                    <w:szCs w:val="48"/>
                    <w:lang w:val="fr-FR"/>
                  </w:rPr>
                  <w:t>☐</w:t>
                </w:r>
              </w:sdtContent>
            </w:sdt>
          </w:p>
        </w:tc>
      </w:tr>
      <w:tr w:rsidR="004B61AC" w:rsidRPr="00455B98" w14:paraId="33F4B22A"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4BEAA6BA" w14:textId="71E4734A" w:rsidR="004B61AC" w:rsidRPr="00455B98" w:rsidRDefault="00E3549F" w:rsidP="004B61AC">
            <w:pPr>
              <w:spacing w:line="360" w:lineRule="auto"/>
              <w:rPr>
                <w:b/>
                <w:bCs/>
                <w:sz w:val="28"/>
                <w:szCs w:val="28"/>
                <w:lang w:val="fr-FR"/>
              </w:rPr>
            </w:pPr>
            <w:r w:rsidRPr="00455B98">
              <w:rPr>
                <w:b/>
                <w:bCs/>
                <w:sz w:val="28"/>
                <w:szCs w:val="28"/>
                <w:lang w:val="fr-FR"/>
              </w:rPr>
              <w:t>Préférence pour des locaux au rez-de-chaussée</w:t>
            </w:r>
            <w:r w:rsidRPr="00455B98">
              <w:rPr>
                <w:sz w:val="28"/>
                <w:szCs w:val="28"/>
                <w:lang w:val="fr-FR"/>
              </w:rPr>
              <w:t xml:space="preserve"> pour garantir l’accessibilité et une évacuation rapide en cas d’urgence</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040AF8BA" w14:textId="391C66D2" w:rsidR="004B61AC"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Préférence pour des locaux au rez-de-chaussée "/>
                <w:tag w:val="Préférence pour des locaux au rez-de-chaussée "/>
                <w:id w:val="-1418862424"/>
                <w14:checkbox>
                  <w14:checked w14:val="0"/>
                  <w14:checkedState w14:val="2612" w14:font="MS Gothic"/>
                  <w14:uncheckedState w14:val="2610" w14:font="MS Gothic"/>
                </w14:checkbox>
              </w:sdtPr>
              <w:sdtEndPr/>
              <w:sdtContent>
                <w:r w:rsidR="004326BD">
                  <w:rPr>
                    <w:rFonts w:ascii="MS Gothic" w:eastAsia="MS Gothic" w:hAnsi="MS Gothic" w:hint="eastAsia"/>
                    <w:sz w:val="48"/>
                    <w:szCs w:val="48"/>
                    <w:lang w:val="fr-FR"/>
                  </w:rPr>
                  <w:t>☐</w:t>
                </w:r>
              </w:sdtContent>
            </w:sdt>
          </w:p>
        </w:tc>
      </w:tr>
      <w:tr w:rsidR="004B61AC" w:rsidRPr="00455B98" w14:paraId="5095F33A"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43CBB619" w14:textId="206557BB" w:rsidR="004B61AC" w:rsidRPr="00455B98" w:rsidRDefault="00092C46" w:rsidP="004B61AC">
            <w:pPr>
              <w:spacing w:line="360" w:lineRule="auto"/>
              <w:rPr>
                <w:b/>
                <w:bCs/>
                <w:sz w:val="28"/>
                <w:szCs w:val="28"/>
                <w:lang w:val="fr-FR"/>
              </w:rPr>
            </w:pPr>
            <w:r w:rsidRPr="00455B98">
              <w:rPr>
                <w:b/>
                <w:bCs/>
                <w:sz w:val="28"/>
                <w:szCs w:val="28"/>
                <w:lang w:val="fr-FR"/>
              </w:rPr>
              <w:t>Mise à disposition de tables accessibles en fauteuil roulant</w:t>
            </w:r>
            <w:r w:rsidRPr="00455B98">
              <w:rPr>
                <w:sz w:val="28"/>
                <w:szCs w:val="28"/>
                <w:lang w:val="fr-FR"/>
              </w:rPr>
              <w:t xml:space="preserve"> ou de surfaces d’écriture adaptées pour remplir et signer des formulaires à la réception</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7915B38C" w14:textId="20053C97" w:rsidR="004B61AC"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Tables accessibles en fauteuil roulant "/>
                <w:tag w:val="Tables accessibles en fauteuil roulant "/>
                <w:id w:val="1107540651"/>
                <w14:checkbox>
                  <w14:checked w14:val="0"/>
                  <w14:checkedState w14:val="2612" w14:font="MS Gothic"/>
                  <w14:uncheckedState w14:val="2610" w14:font="MS Gothic"/>
                </w14:checkbox>
              </w:sdtPr>
              <w:sdtEndPr/>
              <w:sdtContent>
                <w:r w:rsidR="003601FD">
                  <w:rPr>
                    <w:rFonts w:ascii="MS Gothic" w:eastAsia="MS Gothic" w:hAnsi="MS Gothic" w:hint="eastAsia"/>
                    <w:sz w:val="48"/>
                    <w:szCs w:val="48"/>
                    <w:lang w:val="fr-FR"/>
                  </w:rPr>
                  <w:t>☐</w:t>
                </w:r>
              </w:sdtContent>
            </w:sdt>
          </w:p>
        </w:tc>
      </w:tr>
      <w:tr w:rsidR="004B61AC" w:rsidRPr="00455B98" w14:paraId="2028B5DD"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6F2827A7" w14:textId="3CBD9809" w:rsidR="004B61AC" w:rsidRPr="00455B98" w:rsidRDefault="00371C9B" w:rsidP="004B61AC">
            <w:pPr>
              <w:spacing w:line="360" w:lineRule="auto"/>
              <w:rPr>
                <w:b/>
                <w:bCs/>
                <w:sz w:val="28"/>
                <w:szCs w:val="28"/>
                <w:lang w:val="fr-FR"/>
              </w:rPr>
            </w:pPr>
            <w:r w:rsidRPr="00455B98">
              <w:rPr>
                <w:b/>
                <w:bCs/>
                <w:sz w:val="28"/>
                <w:szCs w:val="28"/>
                <w:lang w:val="fr-FR"/>
              </w:rPr>
              <w:t>Assistance personnelle</w:t>
            </w:r>
            <w:r w:rsidRPr="00455B98">
              <w:rPr>
                <w:sz w:val="28"/>
                <w:szCs w:val="28"/>
                <w:lang w:val="fr-FR"/>
              </w:rPr>
              <w:t xml:space="preserve"> disponible si nécessaire</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72862AE6" w14:textId="2F131E7E" w:rsidR="004B61AC"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Assistance personnelle disponible si nécessaire"/>
                <w:tag w:val="Assistance personnelle disponible si nécessaire"/>
                <w:id w:val="408193641"/>
                <w14:checkbox>
                  <w14:checked w14:val="0"/>
                  <w14:checkedState w14:val="2612" w14:font="MS Gothic"/>
                  <w14:uncheckedState w14:val="2610" w14:font="MS Gothic"/>
                </w14:checkbox>
              </w:sdtPr>
              <w:sdtEndPr/>
              <w:sdtContent>
                <w:r w:rsidR="003C59BB">
                  <w:rPr>
                    <w:rFonts w:ascii="MS Gothic" w:eastAsia="MS Gothic" w:hAnsi="MS Gothic" w:hint="eastAsia"/>
                    <w:sz w:val="48"/>
                    <w:szCs w:val="48"/>
                    <w:lang w:val="fr-FR"/>
                  </w:rPr>
                  <w:t>☐</w:t>
                </w:r>
              </w:sdtContent>
            </w:sdt>
          </w:p>
        </w:tc>
      </w:tr>
    </w:tbl>
    <w:p w14:paraId="1246C903" w14:textId="2B451932" w:rsidR="00AA16A5" w:rsidRPr="00455B98" w:rsidRDefault="00ED475D" w:rsidP="00804929">
      <w:pPr>
        <w:pStyle w:val="berschrift2"/>
        <w:spacing w:before="480" w:after="120"/>
        <w:rPr>
          <w:b/>
          <w:bCs/>
          <w:color w:val="auto"/>
          <w:sz w:val="36"/>
          <w:szCs w:val="36"/>
          <w:lang w:val="fr-FR"/>
        </w:rPr>
      </w:pPr>
      <w:r w:rsidRPr="00455B98">
        <w:rPr>
          <w:b/>
          <w:bCs/>
          <w:color w:val="auto"/>
          <w:sz w:val="36"/>
          <w:szCs w:val="36"/>
          <w:lang w:val="fr-FR"/>
        </w:rPr>
        <w:t>Orientation &amp; systèmes de guidage</w:t>
      </w:r>
    </w:p>
    <w:tbl>
      <w:tblPr>
        <w:tblStyle w:val="Tabellenraster"/>
        <w:tblW w:w="8927" w:type="dxa"/>
        <w:tblLook w:val="0400" w:firstRow="0" w:lastRow="0" w:firstColumn="0" w:lastColumn="0" w:noHBand="0" w:noVBand="1"/>
        <w:tblCaption w:val="layout"/>
      </w:tblPr>
      <w:tblGrid>
        <w:gridCol w:w="8075"/>
        <w:gridCol w:w="852"/>
      </w:tblGrid>
      <w:tr w:rsidR="00804929" w:rsidRPr="00455B98" w14:paraId="3778B1B0"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016D4548" w14:textId="38BE5D2F" w:rsidR="00804929" w:rsidRPr="00455B98" w:rsidRDefault="00494C48" w:rsidP="006F229A">
            <w:pPr>
              <w:spacing w:line="360" w:lineRule="auto"/>
              <w:rPr>
                <w:b/>
                <w:bCs/>
                <w:sz w:val="28"/>
                <w:szCs w:val="28"/>
                <w:lang w:val="fr-FR"/>
              </w:rPr>
            </w:pPr>
            <w:r w:rsidRPr="00455B98">
              <w:rPr>
                <w:b/>
                <w:bCs/>
                <w:sz w:val="28"/>
                <w:szCs w:val="28"/>
                <w:lang w:val="fr-FR"/>
              </w:rPr>
              <w:t>Aide à l'orientation</w:t>
            </w:r>
            <w:r w:rsidRPr="00455B98">
              <w:rPr>
                <w:sz w:val="28"/>
                <w:szCs w:val="28"/>
                <w:lang w:val="fr-FR"/>
              </w:rPr>
              <w:t xml:space="preserve"> dans les locaux à l’aide de symboles et panneaux clairs et colorés</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58079F57" w14:textId="0AD7B050"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Aide à l'orientation "/>
                <w:tag w:val="Aide à l'orientation "/>
                <w:id w:val="-1855026082"/>
                <w14:checkbox>
                  <w14:checked w14:val="0"/>
                  <w14:checkedState w14:val="2612" w14:font="MS Gothic"/>
                  <w14:uncheckedState w14:val="2610" w14:font="MS Gothic"/>
                </w14:checkbox>
              </w:sdtPr>
              <w:sdtEndPr/>
              <w:sdtContent>
                <w:r w:rsidR="0046482A">
                  <w:rPr>
                    <w:rFonts w:ascii="MS Gothic" w:eastAsia="MS Gothic" w:hAnsi="MS Gothic" w:hint="eastAsia"/>
                    <w:sz w:val="48"/>
                    <w:szCs w:val="48"/>
                    <w:lang w:val="fr-FR"/>
                  </w:rPr>
                  <w:t>☐</w:t>
                </w:r>
              </w:sdtContent>
            </w:sdt>
          </w:p>
        </w:tc>
      </w:tr>
      <w:tr w:rsidR="00804929" w:rsidRPr="00455B98" w14:paraId="0C53D384"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2C456D27" w14:textId="508C6FE6" w:rsidR="00804929" w:rsidRPr="00455B98" w:rsidRDefault="0004599B" w:rsidP="00804929">
            <w:pPr>
              <w:spacing w:line="360" w:lineRule="auto"/>
              <w:rPr>
                <w:b/>
                <w:bCs/>
                <w:sz w:val="28"/>
                <w:szCs w:val="28"/>
                <w:lang w:val="fr-FR"/>
              </w:rPr>
            </w:pPr>
            <w:r w:rsidRPr="00455B98">
              <w:rPr>
                <w:b/>
                <w:bCs/>
                <w:sz w:val="28"/>
                <w:szCs w:val="28"/>
                <w:lang w:val="fr-FR"/>
              </w:rPr>
              <w:t>Lignes tactiles et marquages au sol</w:t>
            </w:r>
            <w:r w:rsidRPr="00455B98">
              <w:rPr>
                <w:sz w:val="28"/>
                <w:szCs w:val="28"/>
                <w:lang w:val="fr-FR"/>
              </w:rPr>
              <w:t xml:space="preserve"> (à l’extérieur et à l’intérieur du service) pour l’orientation à l’aide d’une canne blanche ou des pieds, et pour signaler les changements de direction et les zones de danger</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7E793E31" w14:textId="0A50D277"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Lignes tactiles et marquages au sol "/>
                <w:tag w:val="Lignes tactiles et marquages au sol "/>
                <w:id w:val="-222913282"/>
                <w14:checkbox>
                  <w14:checked w14:val="0"/>
                  <w14:checkedState w14:val="2612" w14:font="MS Gothic"/>
                  <w14:uncheckedState w14:val="2610" w14:font="MS Gothic"/>
                </w14:checkbox>
              </w:sdtPr>
              <w:sdtEndPr/>
              <w:sdtContent>
                <w:r w:rsidR="0046482A">
                  <w:rPr>
                    <w:rFonts w:ascii="MS Gothic" w:eastAsia="MS Gothic" w:hAnsi="MS Gothic" w:hint="eastAsia"/>
                    <w:sz w:val="48"/>
                    <w:szCs w:val="48"/>
                    <w:lang w:val="fr-FR"/>
                  </w:rPr>
                  <w:t>☐</w:t>
                </w:r>
              </w:sdtContent>
            </w:sdt>
          </w:p>
        </w:tc>
      </w:tr>
      <w:tr w:rsidR="00804929" w:rsidRPr="00455B98" w14:paraId="409EE720"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06E63038" w14:textId="415819C0" w:rsidR="00804929" w:rsidRPr="00455B98" w:rsidRDefault="003D7EB0" w:rsidP="006F229A">
            <w:pPr>
              <w:spacing w:line="360" w:lineRule="auto"/>
              <w:rPr>
                <w:b/>
                <w:bCs/>
                <w:sz w:val="28"/>
                <w:szCs w:val="28"/>
                <w:lang w:val="fr-FR"/>
              </w:rPr>
            </w:pPr>
            <w:r w:rsidRPr="00455B98">
              <w:rPr>
                <w:b/>
                <w:bCs/>
                <w:sz w:val="28"/>
                <w:szCs w:val="28"/>
                <w:lang w:val="fr-FR"/>
              </w:rPr>
              <w:t>Plans tactiles</w:t>
            </w:r>
            <w:r w:rsidR="00804929" w:rsidRPr="00455B98">
              <w:rPr>
                <w:rStyle w:val="Funotenzeichen"/>
                <w:b/>
                <w:bCs/>
                <w:sz w:val="28"/>
                <w:szCs w:val="28"/>
                <w:lang w:val="fr-FR"/>
              </w:rPr>
              <w:footnoteReference w:id="2"/>
            </w:r>
            <w:r w:rsidR="006C6FA5" w:rsidRPr="00455B98">
              <w:rPr>
                <w:sz w:val="28"/>
                <w:szCs w:val="28"/>
                <w:lang w:val="fr-FR"/>
              </w:rPr>
              <w:t xml:space="preserve"> et </w:t>
            </w:r>
            <w:r w:rsidR="006C6FA5" w:rsidRPr="00455B98">
              <w:rPr>
                <w:b/>
                <w:bCs/>
                <w:sz w:val="28"/>
                <w:szCs w:val="28"/>
                <w:lang w:val="fr-FR"/>
              </w:rPr>
              <w:t>écriture braille</w:t>
            </w:r>
            <w:r w:rsidR="00804929" w:rsidRPr="00455B98">
              <w:rPr>
                <w:rStyle w:val="Funotenzeichen"/>
                <w:b/>
                <w:bCs/>
                <w:sz w:val="28"/>
                <w:szCs w:val="28"/>
                <w:lang w:val="fr-FR"/>
              </w:rPr>
              <w:footnoteReference w:id="3"/>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47D48FD6" w14:textId="135531C6"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Plans tactiles et écriture braille"/>
                <w:tag w:val="Plans tactiles et écriture braille"/>
                <w:id w:val="2140539665"/>
                <w14:checkbox>
                  <w14:checked w14:val="0"/>
                  <w14:checkedState w14:val="2612" w14:font="MS Gothic"/>
                  <w14:uncheckedState w14:val="2610" w14:font="MS Gothic"/>
                </w14:checkbox>
              </w:sdtPr>
              <w:sdtEndPr/>
              <w:sdtContent>
                <w:r w:rsidR="005E600E">
                  <w:rPr>
                    <w:rFonts w:ascii="MS Gothic" w:eastAsia="MS Gothic" w:hAnsi="MS Gothic" w:hint="eastAsia"/>
                    <w:sz w:val="48"/>
                    <w:szCs w:val="48"/>
                    <w:lang w:val="fr-FR"/>
                  </w:rPr>
                  <w:t>☐</w:t>
                </w:r>
              </w:sdtContent>
            </w:sdt>
          </w:p>
        </w:tc>
      </w:tr>
      <w:tr w:rsidR="00804929" w:rsidRPr="00455B98" w14:paraId="1FF6B3A1"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2B157D0F" w14:textId="06F40511" w:rsidR="00804929" w:rsidRPr="00455B98" w:rsidRDefault="00A1129E" w:rsidP="006F229A">
            <w:pPr>
              <w:spacing w:line="360" w:lineRule="auto"/>
              <w:rPr>
                <w:b/>
                <w:bCs/>
                <w:sz w:val="28"/>
                <w:szCs w:val="28"/>
                <w:lang w:val="fr-FR"/>
              </w:rPr>
            </w:pPr>
            <w:r w:rsidRPr="007D260B">
              <w:rPr>
                <w:b/>
                <w:bCs/>
                <w:sz w:val="28"/>
                <w:szCs w:val="28"/>
                <w:lang w:val="fr-CH"/>
              </w:rPr>
              <w:lastRenderedPageBreak/>
              <w:t>Panneaux d’information placés près du sol</w:t>
            </w:r>
            <w:r w:rsidRPr="007D260B">
              <w:rPr>
                <w:sz w:val="28"/>
                <w:szCs w:val="28"/>
                <w:lang w:val="fr-CH"/>
              </w:rPr>
              <w:t>, détectables à la canne longue, sans obstacles à hauteur de tête (exemple: panneaux ou publicités en surplomb)</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726B7865" w14:textId="7865CCCA"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Panneaux d’information placés près du sol"/>
                <w:tag w:val="Panneaux d’information placés près du sol"/>
                <w:id w:val="1724635161"/>
                <w14:checkbox>
                  <w14:checked w14:val="0"/>
                  <w14:checkedState w14:val="2612" w14:font="MS Gothic"/>
                  <w14:uncheckedState w14:val="2610" w14:font="MS Gothic"/>
                </w14:checkbox>
              </w:sdtPr>
              <w:sdtEndPr/>
              <w:sdtContent>
                <w:r w:rsidR="00613865">
                  <w:rPr>
                    <w:rFonts w:ascii="MS Gothic" w:eastAsia="MS Gothic" w:hAnsi="MS Gothic" w:hint="eastAsia"/>
                    <w:sz w:val="48"/>
                    <w:szCs w:val="48"/>
                    <w:lang w:val="fr-FR"/>
                  </w:rPr>
                  <w:t>☐</w:t>
                </w:r>
              </w:sdtContent>
            </w:sdt>
          </w:p>
        </w:tc>
      </w:tr>
      <w:tr w:rsidR="00804929" w:rsidRPr="00455B98" w14:paraId="1B633A30"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5655E18F" w14:textId="7A2D7B92" w:rsidR="00804929" w:rsidRPr="00455B98" w:rsidRDefault="004A29C9" w:rsidP="006F229A">
            <w:pPr>
              <w:spacing w:line="360" w:lineRule="auto"/>
              <w:rPr>
                <w:b/>
                <w:bCs/>
                <w:sz w:val="28"/>
                <w:szCs w:val="28"/>
                <w:lang w:val="fr-FR"/>
              </w:rPr>
            </w:pPr>
            <w:r w:rsidRPr="007D260B">
              <w:rPr>
                <w:b/>
                <w:bCs/>
                <w:sz w:val="28"/>
                <w:szCs w:val="28"/>
                <w:lang w:val="fr-CH"/>
              </w:rPr>
              <w:t>Marquages contrastés</w:t>
            </w:r>
            <w:r w:rsidRPr="007D260B">
              <w:rPr>
                <w:sz w:val="28"/>
                <w:szCs w:val="28"/>
                <w:lang w:val="fr-CH"/>
              </w:rPr>
              <w:t>, signalisation lisible et autres signaux</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37BAFC06" w14:textId="394ABC1A"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Marquages contrastés"/>
                <w:tag w:val="Marquages contrastés"/>
                <w:id w:val="741917394"/>
                <w14:checkbox>
                  <w14:checked w14:val="0"/>
                  <w14:checkedState w14:val="2612" w14:font="MS Gothic"/>
                  <w14:uncheckedState w14:val="2610" w14:font="MS Gothic"/>
                </w14:checkbox>
              </w:sdtPr>
              <w:sdtEndPr/>
              <w:sdtContent>
                <w:r w:rsidR="0035402B">
                  <w:rPr>
                    <w:rFonts w:ascii="MS Gothic" w:eastAsia="MS Gothic" w:hAnsi="MS Gothic" w:hint="eastAsia"/>
                    <w:sz w:val="48"/>
                    <w:szCs w:val="48"/>
                    <w:lang w:val="fr-FR"/>
                  </w:rPr>
                  <w:t>☐</w:t>
                </w:r>
              </w:sdtContent>
            </w:sdt>
          </w:p>
        </w:tc>
      </w:tr>
    </w:tbl>
    <w:p w14:paraId="46FF9785" w14:textId="4B12047C" w:rsidR="00AA16A5" w:rsidRPr="004E2B4E" w:rsidRDefault="004E2B4E" w:rsidP="00804929">
      <w:pPr>
        <w:pStyle w:val="berschrift2"/>
        <w:spacing w:before="480" w:after="120"/>
        <w:rPr>
          <w:b/>
          <w:bCs/>
          <w:color w:val="auto"/>
          <w:sz w:val="36"/>
          <w:szCs w:val="36"/>
          <w:lang w:val="fr-CH"/>
        </w:rPr>
      </w:pPr>
      <w:r w:rsidRPr="004E2B4E">
        <w:rPr>
          <w:b/>
          <w:bCs/>
          <w:color w:val="auto"/>
          <w:sz w:val="36"/>
          <w:szCs w:val="36"/>
          <w:lang w:val="fr-FR"/>
        </w:rPr>
        <w:t>Application de l’accessibilité multisensorielle et accès à l’information</w:t>
      </w:r>
    </w:p>
    <w:tbl>
      <w:tblPr>
        <w:tblStyle w:val="Tabellenraster"/>
        <w:tblW w:w="8927" w:type="dxa"/>
        <w:tblLook w:val="0400" w:firstRow="0" w:lastRow="0" w:firstColumn="0" w:lastColumn="0" w:noHBand="0" w:noVBand="1"/>
        <w:tblCaption w:val="layout"/>
      </w:tblPr>
      <w:tblGrid>
        <w:gridCol w:w="8075"/>
        <w:gridCol w:w="852"/>
      </w:tblGrid>
      <w:tr w:rsidR="00804929" w:rsidRPr="00455B98" w14:paraId="3EF4AC67"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41837548" w14:textId="28837FD0" w:rsidR="00804929" w:rsidRPr="00455B98" w:rsidRDefault="00B72977" w:rsidP="006F229A">
            <w:pPr>
              <w:spacing w:line="360" w:lineRule="auto"/>
              <w:rPr>
                <w:sz w:val="28"/>
                <w:szCs w:val="28"/>
                <w:lang w:val="fr-FR"/>
              </w:rPr>
            </w:pPr>
            <w:r w:rsidRPr="007D260B">
              <w:rPr>
                <w:b/>
                <w:bCs/>
                <w:sz w:val="28"/>
                <w:szCs w:val="28"/>
                <w:lang w:val="fr-CH"/>
              </w:rPr>
              <w:t>Application du principe de l’accessibilité multisensorielle</w:t>
            </w:r>
            <w:r w:rsidRPr="007D260B">
              <w:rPr>
                <w:rStyle w:val="Funotenzeichen"/>
                <w:b/>
                <w:bCs/>
                <w:sz w:val="28"/>
                <w:szCs w:val="28"/>
                <w:lang w:val="fr-CH"/>
              </w:rPr>
              <w:footnoteReference w:id="4"/>
            </w:r>
            <w:r w:rsidRPr="007D260B">
              <w:rPr>
                <w:sz w:val="28"/>
                <w:szCs w:val="28"/>
                <w:lang w:val="fr-CH"/>
              </w:rPr>
              <w:t xml:space="preserve"> par signaux visuels et auditifs:</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6B372E36" w14:textId="5558DDC2"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Application du principe de l’accessibilité multisensorielle"/>
                <w:tag w:val="Application du principe de l’accessibilité multisensorielle"/>
                <w:id w:val="850451982"/>
                <w14:checkbox>
                  <w14:checked w14:val="0"/>
                  <w14:checkedState w14:val="2612" w14:font="MS Gothic"/>
                  <w14:uncheckedState w14:val="2610" w14:font="MS Gothic"/>
                </w14:checkbox>
              </w:sdtPr>
              <w:sdtEndPr/>
              <w:sdtContent>
                <w:r w:rsidR="0035402B">
                  <w:rPr>
                    <w:rFonts w:ascii="MS Gothic" w:eastAsia="MS Gothic" w:hAnsi="MS Gothic" w:hint="eastAsia"/>
                    <w:sz w:val="48"/>
                    <w:szCs w:val="48"/>
                    <w:lang w:val="fr-FR"/>
                  </w:rPr>
                  <w:t>☐</w:t>
                </w:r>
              </w:sdtContent>
            </w:sdt>
          </w:p>
        </w:tc>
      </w:tr>
      <w:tr w:rsidR="00804929" w:rsidRPr="00455B98" w14:paraId="7D2A0028"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4B86BCB7" w14:textId="56DA6671" w:rsidR="00804929" w:rsidRPr="00455B98" w:rsidRDefault="00000449" w:rsidP="00804929">
            <w:pPr>
              <w:spacing w:line="360" w:lineRule="auto"/>
              <w:ind w:left="454"/>
              <w:rPr>
                <w:sz w:val="28"/>
                <w:szCs w:val="28"/>
                <w:lang w:val="fr-FR"/>
              </w:rPr>
            </w:pPr>
            <w:r w:rsidRPr="007D260B">
              <w:rPr>
                <w:b/>
                <w:bCs/>
                <w:sz w:val="28"/>
                <w:szCs w:val="28"/>
                <w:lang w:val="fr-CH"/>
              </w:rPr>
              <w:t>Signaux écrits et visuels</w:t>
            </w:r>
            <w:r w:rsidRPr="007D260B">
              <w:rPr>
                <w:sz w:val="28"/>
                <w:szCs w:val="28"/>
                <w:lang w:val="fr-CH"/>
              </w:rPr>
              <w:t xml:space="preserve"> complétant les annonces sonores, par exemple annonces lisibles à l’écran, signaux d’alerte optiques, signaux lumineux et systèmes d’appel d’urgence actionnables par écrit dans les ascenseurs</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0B029565" w14:textId="3EF9645C"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Signaux écrits et visuels "/>
                <w:tag w:val="Signaux écrits et visuels "/>
                <w:id w:val="-1353098571"/>
                <w14:checkbox>
                  <w14:checked w14:val="0"/>
                  <w14:checkedState w14:val="2612" w14:font="MS Gothic"/>
                  <w14:uncheckedState w14:val="2610" w14:font="MS Gothic"/>
                </w14:checkbox>
              </w:sdtPr>
              <w:sdtEndPr/>
              <w:sdtContent>
                <w:r w:rsidR="00F17E43">
                  <w:rPr>
                    <w:rFonts w:ascii="MS Gothic" w:eastAsia="MS Gothic" w:hAnsi="MS Gothic" w:hint="eastAsia"/>
                    <w:sz w:val="48"/>
                    <w:szCs w:val="48"/>
                    <w:lang w:val="fr-FR"/>
                  </w:rPr>
                  <w:t>☐</w:t>
                </w:r>
              </w:sdtContent>
            </w:sdt>
          </w:p>
        </w:tc>
      </w:tr>
      <w:tr w:rsidR="00804929" w:rsidRPr="00455B98" w14:paraId="5954FF83"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4F54EEC6" w14:textId="06233F40" w:rsidR="00804929" w:rsidRPr="00455B98" w:rsidRDefault="00C47F60" w:rsidP="00804929">
            <w:pPr>
              <w:spacing w:line="360" w:lineRule="auto"/>
              <w:ind w:left="454"/>
              <w:rPr>
                <w:b/>
                <w:bCs/>
                <w:sz w:val="28"/>
                <w:szCs w:val="28"/>
                <w:lang w:val="fr-FR"/>
              </w:rPr>
            </w:pPr>
            <w:r w:rsidRPr="007D260B">
              <w:rPr>
                <w:b/>
                <w:bCs/>
                <w:sz w:val="28"/>
                <w:szCs w:val="28"/>
                <w:lang w:val="fr-CH"/>
              </w:rPr>
              <w:t>Signaux sonores</w:t>
            </w:r>
            <w:r w:rsidRPr="007D260B">
              <w:rPr>
                <w:sz w:val="28"/>
                <w:szCs w:val="28"/>
                <w:lang w:val="fr-CH"/>
              </w:rPr>
              <w:t xml:space="preserve"> complétant les affichages visuels, par exemple lors de l’appel de numéros ou dans les situations d’urgence</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0858FFAB" w14:textId="6B17CC66"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Signaux sonores complétant les affichages visuels"/>
                <w:tag w:val="Signaux sonores complétant les affichages visuels"/>
                <w:id w:val="1351679993"/>
                <w14:checkbox>
                  <w14:checked w14:val="0"/>
                  <w14:checkedState w14:val="2612" w14:font="MS Gothic"/>
                  <w14:uncheckedState w14:val="2610" w14:font="MS Gothic"/>
                </w14:checkbox>
              </w:sdtPr>
              <w:sdtEndPr/>
              <w:sdtContent>
                <w:r w:rsidR="00610002">
                  <w:rPr>
                    <w:rFonts w:ascii="MS Gothic" w:eastAsia="MS Gothic" w:hAnsi="MS Gothic" w:hint="eastAsia"/>
                    <w:sz w:val="48"/>
                    <w:szCs w:val="48"/>
                    <w:lang w:val="fr-FR"/>
                  </w:rPr>
                  <w:t>☐</w:t>
                </w:r>
              </w:sdtContent>
            </w:sdt>
          </w:p>
        </w:tc>
      </w:tr>
      <w:tr w:rsidR="00804929" w:rsidRPr="00455B98" w14:paraId="6A11DCB7"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2CDB2DDE" w14:textId="0AC89496" w:rsidR="00804929" w:rsidRPr="00BA3B46" w:rsidRDefault="00BA3B46" w:rsidP="00804929">
            <w:pPr>
              <w:spacing w:line="360" w:lineRule="auto"/>
              <w:ind w:left="454"/>
              <w:rPr>
                <w:b/>
                <w:bCs/>
                <w:sz w:val="28"/>
                <w:szCs w:val="28"/>
                <w:lang w:val="fr-CH"/>
              </w:rPr>
            </w:pPr>
            <w:r w:rsidRPr="00BA3B46">
              <w:rPr>
                <w:b/>
                <w:bCs/>
                <w:sz w:val="28"/>
                <w:szCs w:val="28"/>
                <w:lang w:val="fr-CH"/>
              </w:rPr>
              <w:t>Signalisation claire des systèmes auditifs disponibles</w:t>
            </w:r>
            <w:r w:rsidRPr="00BA3B46">
              <w:rPr>
                <w:sz w:val="28"/>
                <w:szCs w:val="28"/>
                <w:lang w:val="fr-CH"/>
              </w:rPr>
              <w:t xml:space="preserve">, avec indication du type (induction, autres – voir le </w:t>
            </w:r>
            <w:r>
              <w:fldChar w:fldCharType="begin"/>
            </w:r>
            <w:r w:rsidRPr="00564A40">
              <w:rPr>
                <w:lang w:val="fr-CH"/>
              </w:rPr>
              <w:instrText>HYPERLINK "https://www.pro-audito.ch/rund-um-den-hoerverlust/was-sind-hoeranlagen/" \o "site Internet de Pro Audito Suisse"</w:instrText>
            </w:r>
            <w:r>
              <w:fldChar w:fldCharType="separate"/>
            </w:r>
            <w:r w:rsidRPr="00BA3B46">
              <w:rPr>
                <w:rStyle w:val="Hyperlink"/>
                <w:color w:val="auto"/>
                <w:sz w:val="28"/>
                <w:szCs w:val="28"/>
                <w:lang w:val="fr-CH"/>
              </w:rPr>
              <w:t>site Internet de Pro </w:t>
            </w:r>
            <w:proofErr w:type="spellStart"/>
            <w:r w:rsidRPr="00BA3B46">
              <w:rPr>
                <w:rStyle w:val="Hyperlink"/>
                <w:color w:val="auto"/>
                <w:sz w:val="28"/>
                <w:szCs w:val="28"/>
                <w:lang w:val="fr-CH"/>
              </w:rPr>
              <w:t>Audito</w:t>
            </w:r>
            <w:proofErr w:type="spellEnd"/>
            <w:r w:rsidRPr="00BA3B46">
              <w:rPr>
                <w:rStyle w:val="Hyperlink"/>
                <w:color w:val="auto"/>
                <w:sz w:val="28"/>
                <w:szCs w:val="28"/>
                <w:lang w:val="fr-CH"/>
              </w:rPr>
              <w:t> Suisse</w:t>
            </w:r>
            <w:r>
              <w:fldChar w:fldCharType="end"/>
            </w:r>
            <w:r w:rsidRPr="00BA3B46">
              <w:rPr>
                <w:sz w:val="28"/>
                <w:szCs w:val="28"/>
                <w:lang w:val="fr-CH"/>
              </w:rPr>
              <w:t>)</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6F7B58FD" w14:textId="6B300EC1"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Signalisation claire des systèmes auditifs disponibles"/>
                <w:tag w:val="Signalisation claire des systèmes auditifs disponibles"/>
                <w:id w:val="299346191"/>
                <w14:checkbox>
                  <w14:checked w14:val="0"/>
                  <w14:checkedState w14:val="2612" w14:font="MS Gothic"/>
                  <w14:uncheckedState w14:val="2610" w14:font="MS Gothic"/>
                </w14:checkbox>
              </w:sdtPr>
              <w:sdtEndPr/>
              <w:sdtContent>
                <w:r w:rsidR="00B6669E">
                  <w:rPr>
                    <w:rFonts w:ascii="MS Gothic" w:eastAsia="MS Gothic" w:hAnsi="MS Gothic" w:hint="eastAsia"/>
                    <w:sz w:val="48"/>
                    <w:szCs w:val="48"/>
                    <w:lang w:val="fr-FR"/>
                  </w:rPr>
                  <w:t>☐</w:t>
                </w:r>
              </w:sdtContent>
            </w:sdt>
          </w:p>
        </w:tc>
      </w:tr>
    </w:tbl>
    <w:p w14:paraId="4DBE0BC3" w14:textId="3B2F89A9" w:rsidR="00E35DFC" w:rsidRPr="007D260B" w:rsidRDefault="00E35DFC" w:rsidP="00E35DFC">
      <w:pPr>
        <w:spacing w:before="120" w:after="120" w:line="240" w:lineRule="auto"/>
        <w:rPr>
          <w:sz w:val="28"/>
          <w:szCs w:val="28"/>
          <w:lang w:val="fr-CH"/>
        </w:rPr>
      </w:pPr>
      <w:r w:rsidRPr="007D260B">
        <w:rPr>
          <w:sz w:val="28"/>
          <w:szCs w:val="28"/>
          <w:lang w:val="fr-CH"/>
        </w:rPr>
        <w:t xml:space="preserve">Vous trouverez de plus amples informations et des directives concernant les dispositifs d’alarme et d’évacuation des personnes avec handicap auprès du service spécialisé Architecture sans obstacles sur la page de leur site Internet </w:t>
      </w:r>
      <w:hyperlink r:id="rId13" w:tooltip="Alarme et évacuation" w:history="1">
        <w:r w:rsidRPr="007D260B">
          <w:rPr>
            <w:rStyle w:val="Hyperlink"/>
            <w:color w:val="auto"/>
            <w:sz w:val="28"/>
            <w:szCs w:val="28"/>
            <w:lang w:val="fr-CH"/>
          </w:rPr>
          <w:t>Alarme et évacuation</w:t>
        </w:r>
      </w:hyperlink>
      <w:r w:rsidRPr="007D260B">
        <w:rPr>
          <w:sz w:val="28"/>
          <w:szCs w:val="28"/>
          <w:lang w:val="fr-CH"/>
        </w:rPr>
        <w:t>.</w:t>
      </w:r>
    </w:p>
    <w:p w14:paraId="46783A6C" w14:textId="0ED61E7F" w:rsidR="006F2ED9" w:rsidRPr="00E35DFC" w:rsidRDefault="006F2ED9" w:rsidP="00804929">
      <w:pPr>
        <w:spacing w:before="240" w:after="120" w:line="360" w:lineRule="auto"/>
        <w:rPr>
          <w:sz w:val="28"/>
          <w:szCs w:val="28"/>
          <w:lang w:val="fr-CH"/>
        </w:rPr>
      </w:pPr>
    </w:p>
    <w:p w14:paraId="013B1593" w14:textId="3B65F0C3" w:rsidR="00AA16A5" w:rsidRPr="001672E6" w:rsidRDefault="001672E6" w:rsidP="001672E6">
      <w:pPr>
        <w:pStyle w:val="berschrift2"/>
        <w:spacing w:before="120" w:after="120"/>
        <w:rPr>
          <w:b/>
          <w:bCs/>
          <w:color w:val="auto"/>
          <w:sz w:val="36"/>
          <w:szCs w:val="36"/>
          <w:lang w:val="fr-CH"/>
        </w:rPr>
      </w:pPr>
      <w:r w:rsidRPr="007D260B">
        <w:rPr>
          <w:b/>
          <w:bCs/>
          <w:color w:val="auto"/>
          <w:sz w:val="36"/>
          <w:szCs w:val="36"/>
          <w:lang w:val="fr-CH"/>
        </w:rPr>
        <w:t>Équipement des bâtiments &amp; infrastructure</w:t>
      </w:r>
    </w:p>
    <w:tbl>
      <w:tblPr>
        <w:tblStyle w:val="Tabellenraster"/>
        <w:tblW w:w="8927" w:type="dxa"/>
        <w:tblLook w:val="0400" w:firstRow="0" w:lastRow="0" w:firstColumn="0" w:lastColumn="0" w:noHBand="0" w:noVBand="1"/>
        <w:tblCaption w:val="layout"/>
      </w:tblPr>
      <w:tblGrid>
        <w:gridCol w:w="8075"/>
        <w:gridCol w:w="852"/>
      </w:tblGrid>
      <w:tr w:rsidR="00804929" w:rsidRPr="00455B98" w14:paraId="26814224"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2188BEBF" w14:textId="2AE64159" w:rsidR="00804929" w:rsidRPr="005619CD" w:rsidRDefault="005619CD" w:rsidP="006F229A">
            <w:pPr>
              <w:spacing w:line="360" w:lineRule="auto"/>
              <w:rPr>
                <w:sz w:val="28"/>
                <w:szCs w:val="28"/>
                <w:lang w:val="fr-CH"/>
              </w:rPr>
            </w:pPr>
            <w:r w:rsidRPr="007D260B">
              <w:rPr>
                <w:b/>
                <w:bCs/>
                <w:sz w:val="28"/>
                <w:szCs w:val="28"/>
                <w:lang w:val="fr-CH"/>
              </w:rPr>
              <w:t>Ascenseurs</w:t>
            </w:r>
            <w:r w:rsidRPr="007D260B">
              <w:rPr>
                <w:sz w:val="28"/>
                <w:szCs w:val="28"/>
                <w:lang w:val="fr-CH"/>
              </w:rPr>
              <w:t xml:space="preserve"> équipés de portes automatiques, de boutons contrastés, de symboles tactiles, d’inscriptions en braille et d’annonces vocales indiquant l’étage et le sens de la marche</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160A5C3D" w14:textId="4A0A2B0C"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Ascenseurs accessibles"/>
                <w:tag w:val="Ascenseurs accessibles"/>
                <w:id w:val="84894638"/>
                <w14:checkbox>
                  <w14:checked w14:val="0"/>
                  <w14:checkedState w14:val="2612" w14:font="MS Gothic"/>
                  <w14:uncheckedState w14:val="2610" w14:font="MS Gothic"/>
                </w14:checkbox>
              </w:sdtPr>
              <w:sdtEndPr/>
              <w:sdtContent>
                <w:r w:rsidR="004846FB">
                  <w:rPr>
                    <w:rFonts w:ascii="MS Gothic" w:eastAsia="MS Gothic" w:hAnsi="MS Gothic" w:hint="eastAsia"/>
                    <w:sz w:val="48"/>
                    <w:szCs w:val="48"/>
                    <w:lang w:val="fr-FR"/>
                  </w:rPr>
                  <w:t>☐</w:t>
                </w:r>
              </w:sdtContent>
            </w:sdt>
          </w:p>
        </w:tc>
      </w:tr>
      <w:tr w:rsidR="00804929" w:rsidRPr="00455B98" w14:paraId="34EDA1BB"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47D31879" w14:textId="58DB36C4" w:rsidR="00804929" w:rsidRPr="00E84A4E" w:rsidRDefault="00E84A4E" w:rsidP="006F229A">
            <w:pPr>
              <w:spacing w:line="360" w:lineRule="auto"/>
              <w:rPr>
                <w:sz w:val="28"/>
                <w:szCs w:val="28"/>
                <w:lang w:val="fr-CH"/>
              </w:rPr>
            </w:pPr>
            <w:r w:rsidRPr="00E84A4E">
              <w:rPr>
                <w:b/>
                <w:bCs/>
                <w:sz w:val="28"/>
                <w:szCs w:val="28"/>
                <w:lang w:val="fr-CH"/>
              </w:rPr>
              <w:t>Conformité à la norme SIA 500</w:t>
            </w:r>
            <w:r w:rsidR="00804929" w:rsidRPr="00455B98">
              <w:rPr>
                <w:rStyle w:val="Funotenzeichen"/>
                <w:b/>
                <w:bCs/>
                <w:sz w:val="28"/>
                <w:szCs w:val="28"/>
                <w:lang w:val="fr-FR"/>
              </w:rPr>
              <w:footnoteReference w:id="5"/>
            </w:r>
            <w:r w:rsidR="00804929" w:rsidRPr="00E84A4E">
              <w:rPr>
                <w:b/>
                <w:bCs/>
                <w:sz w:val="28"/>
                <w:szCs w:val="28"/>
                <w:lang w:val="fr-CH"/>
              </w:rPr>
              <w:t>:</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085EB90B" w14:textId="4A13789F"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Conformité à la norme SIA 500"/>
                <w:tag w:val="Conformité à la norme SIA 500"/>
                <w:id w:val="-182282824"/>
                <w14:checkbox>
                  <w14:checked w14:val="0"/>
                  <w14:checkedState w14:val="2612" w14:font="MS Gothic"/>
                  <w14:uncheckedState w14:val="2610" w14:font="MS Gothic"/>
                </w14:checkbox>
              </w:sdtPr>
              <w:sdtEndPr/>
              <w:sdtContent>
                <w:r w:rsidR="00A63722">
                  <w:rPr>
                    <w:rFonts w:ascii="MS Gothic" w:eastAsia="MS Gothic" w:hAnsi="MS Gothic" w:hint="eastAsia"/>
                    <w:sz w:val="48"/>
                    <w:szCs w:val="48"/>
                    <w:lang w:val="fr-FR"/>
                  </w:rPr>
                  <w:t>☐</w:t>
                </w:r>
              </w:sdtContent>
            </w:sdt>
          </w:p>
        </w:tc>
      </w:tr>
      <w:tr w:rsidR="00804929" w:rsidRPr="00455B98" w14:paraId="5F771013"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1B624865" w14:textId="6268E804" w:rsidR="00804929" w:rsidRPr="00455B98" w:rsidRDefault="00E662A3" w:rsidP="00804929">
            <w:pPr>
              <w:spacing w:line="360" w:lineRule="auto"/>
              <w:ind w:left="454"/>
              <w:rPr>
                <w:b/>
                <w:bCs/>
                <w:sz w:val="28"/>
                <w:szCs w:val="28"/>
                <w:lang w:val="fr-FR"/>
              </w:rPr>
            </w:pPr>
            <w:r w:rsidRPr="007D260B">
              <w:rPr>
                <w:b/>
                <w:bCs/>
                <w:sz w:val="28"/>
                <w:szCs w:val="28"/>
                <w:lang w:val="fr-CH"/>
              </w:rPr>
              <w:t>Places de stationnement réservées aux fauteuils roulants</w:t>
            </w:r>
            <w:r w:rsidRPr="007D260B">
              <w:rPr>
                <w:sz w:val="28"/>
                <w:szCs w:val="28"/>
                <w:lang w:val="fr-CH"/>
              </w:rPr>
              <w:t xml:space="preserve"> à proximité immédiate</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24800CC8" w14:textId="51819DA2"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Places de stationnement réservées aux fauteuils roulants "/>
                <w:tag w:val="Places de stationnement réservées aux fauteuils roulants "/>
                <w:id w:val="-311486796"/>
                <w14:checkbox>
                  <w14:checked w14:val="0"/>
                  <w14:checkedState w14:val="2612" w14:font="MS Gothic"/>
                  <w14:uncheckedState w14:val="2610" w14:font="MS Gothic"/>
                </w14:checkbox>
              </w:sdtPr>
              <w:sdtEndPr/>
              <w:sdtContent>
                <w:r w:rsidR="004B7D29">
                  <w:rPr>
                    <w:rFonts w:ascii="MS Gothic" w:eastAsia="MS Gothic" w:hAnsi="MS Gothic" w:hint="eastAsia"/>
                    <w:sz w:val="48"/>
                    <w:szCs w:val="48"/>
                    <w:lang w:val="fr-FR"/>
                  </w:rPr>
                  <w:t>☐</w:t>
                </w:r>
              </w:sdtContent>
            </w:sdt>
          </w:p>
        </w:tc>
      </w:tr>
      <w:tr w:rsidR="00804929" w:rsidRPr="00455B98" w14:paraId="5B7A29D5"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75B08450" w14:textId="35DE497E" w:rsidR="00804929" w:rsidRPr="00455B98" w:rsidRDefault="00CB2205" w:rsidP="00804929">
            <w:pPr>
              <w:spacing w:line="360" w:lineRule="auto"/>
              <w:ind w:left="454"/>
              <w:rPr>
                <w:b/>
                <w:bCs/>
                <w:sz w:val="28"/>
                <w:szCs w:val="28"/>
                <w:lang w:val="fr-FR"/>
              </w:rPr>
            </w:pPr>
            <w:r w:rsidRPr="007D260B">
              <w:rPr>
                <w:b/>
                <w:bCs/>
                <w:sz w:val="28"/>
                <w:szCs w:val="28"/>
                <w:lang w:val="fr-CH"/>
              </w:rPr>
              <w:t>Accès sans marches</w:t>
            </w:r>
            <w:r w:rsidRPr="007D260B">
              <w:rPr>
                <w:sz w:val="28"/>
                <w:szCs w:val="28"/>
                <w:lang w:val="fr-CH"/>
              </w:rPr>
              <w:t xml:space="preserve"> grâce à des rampes et des ascenseurs</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0FD0E1FC" w14:textId="652EF9A0"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Accès sans marches "/>
                <w:tag w:val="Accès sans marches "/>
                <w:id w:val="1136068747"/>
                <w14:checkbox>
                  <w14:checked w14:val="0"/>
                  <w14:checkedState w14:val="2612" w14:font="MS Gothic"/>
                  <w14:uncheckedState w14:val="2610" w14:font="MS Gothic"/>
                </w14:checkbox>
              </w:sdtPr>
              <w:sdtEndPr/>
              <w:sdtContent>
                <w:r w:rsidR="00A17132">
                  <w:rPr>
                    <w:rFonts w:ascii="MS Gothic" w:eastAsia="MS Gothic" w:hAnsi="MS Gothic" w:hint="eastAsia"/>
                    <w:sz w:val="48"/>
                    <w:szCs w:val="48"/>
                    <w:lang w:val="fr-FR"/>
                  </w:rPr>
                  <w:t>☐</w:t>
                </w:r>
              </w:sdtContent>
            </w:sdt>
          </w:p>
        </w:tc>
      </w:tr>
      <w:tr w:rsidR="00804929" w:rsidRPr="00455B98" w14:paraId="009C5438"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78A3AD70" w14:textId="2D04EB0A" w:rsidR="00804929" w:rsidRPr="00455B98" w:rsidRDefault="005C4D1D" w:rsidP="00804929">
            <w:pPr>
              <w:spacing w:line="360" w:lineRule="auto"/>
              <w:ind w:left="454"/>
              <w:rPr>
                <w:b/>
                <w:bCs/>
                <w:sz w:val="28"/>
                <w:szCs w:val="28"/>
                <w:lang w:val="fr-FR"/>
              </w:rPr>
            </w:pPr>
            <w:r w:rsidRPr="007D260B">
              <w:rPr>
                <w:b/>
                <w:bCs/>
                <w:sz w:val="28"/>
                <w:szCs w:val="28"/>
                <w:lang w:val="fr-CH"/>
              </w:rPr>
              <w:t>Toilettes accessibles</w:t>
            </w:r>
            <w:r w:rsidRPr="007D260B">
              <w:rPr>
                <w:sz w:val="28"/>
                <w:szCs w:val="28"/>
                <w:lang w:val="fr-CH"/>
              </w:rPr>
              <w:t xml:space="preserve"> aux personnes avec handicap, non encombrées par du matériel et non utilisées comme espace de stockage</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3A419275" w14:textId="67932C8E"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Toilettes accessibles "/>
                <w:tag w:val="Toilettes accessibles "/>
                <w:id w:val="-1928109501"/>
                <w14:checkbox>
                  <w14:checked w14:val="0"/>
                  <w14:checkedState w14:val="2612" w14:font="MS Gothic"/>
                  <w14:uncheckedState w14:val="2610" w14:font="MS Gothic"/>
                </w14:checkbox>
              </w:sdtPr>
              <w:sdtEndPr/>
              <w:sdtContent>
                <w:r w:rsidR="007357AF">
                  <w:rPr>
                    <w:rFonts w:ascii="MS Gothic" w:eastAsia="MS Gothic" w:hAnsi="MS Gothic" w:hint="eastAsia"/>
                    <w:sz w:val="48"/>
                    <w:szCs w:val="48"/>
                    <w:lang w:val="fr-FR"/>
                  </w:rPr>
                  <w:t>☐</w:t>
                </w:r>
              </w:sdtContent>
            </w:sdt>
          </w:p>
        </w:tc>
      </w:tr>
      <w:tr w:rsidR="00804929" w:rsidRPr="00455B98" w14:paraId="4BD987F9"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5034C04F" w14:textId="0F7E48EC" w:rsidR="00804929" w:rsidRPr="00455B98" w:rsidRDefault="00247435" w:rsidP="00804929">
            <w:pPr>
              <w:spacing w:line="360" w:lineRule="auto"/>
              <w:ind w:left="454"/>
              <w:rPr>
                <w:b/>
                <w:bCs/>
                <w:sz w:val="28"/>
                <w:szCs w:val="28"/>
                <w:lang w:val="fr-FR"/>
              </w:rPr>
            </w:pPr>
            <w:r w:rsidRPr="007D260B">
              <w:rPr>
                <w:b/>
                <w:bCs/>
                <w:sz w:val="28"/>
                <w:szCs w:val="28"/>
                <w:lang w:val="fr-CH"/>
              </w:rPr>
              <w:t>Portes larges</w:t>
            </w:r>
            <w:r w:rsidRPr="007D260B">
              <w:rPr>
                <w:sz w:val="28"/>
                <w:szCs w:val="28"/>
                <w:lang w:val="fr-CH"/>
              </w:rPr>
              <w:t>, automatiques ou faciles à ouvrir et des couloirs suffisamment larges pour permettre aux personnes en fauteuil roulant de passer sans difficulté</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12C2879F" w14:textId="4549A4AD"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Portes larges, automatiques ou faciles à ouvrir "/>
                <w:tag w:val="Portes larges, automatiques ou faciles à ouvrir "/>
                <w:id w:val="1505007742"/>
                <w14:checkbox>
                  <w14:checked w14:val="0"/>
                  <w14:checkedState w14:val="2612" w14:font="MS Gothic"/>
                  <w14:uncheckedState w14:val="2610" w14:font="MS Gothic"/>
                </w14:checkbox>
              </w:sdtPr>
              <w:sdtEndPr/>
              <w:sdtContent>
                <w:r w:rsidR="007357AF">
                  <w:rPr>
                    <w:rFonts w:ascii="MS Gothic" w:eastAsia="MS Gothic" w:hAnsi="MS Gothic" w:hint="eastAsia"/>
                    <w:sz w:val="48"/>
                    <w:szCs w:val="48"/>
                    <w:lang w:val="fr-FR"/>
                  </w:rPr>
                  <w:t>☐</w:t>
                </w:r>
              </w:sdtContent>
            </w:sdt>
          </w:p>
        </w:tc>
      </w:tr>
      <w:tr w:rsidR="00804929" w:rsidRPr="00455B98" w14:paraId="00E95573" w14:textId="77777777" w:rsidTr="002A19C9">
        <w:tc>
          <w:tcPr>
            <w:tcW w:w="8075" w:type="dxa"/>
            <w:tcBorders>
              <w:top w:val="single" w:sz="4" w:space="0" w:color="ADADAD" w:themeColor="background2" w:themeShade="BF"/>
              <w:left w:val="nil"/>
              <w:bottom w:val="single" w:sz="4" w:space="0" w:color="ADADAD" w:themeColor="background2" w:themeShade="BF"/>
              <w:right w:val="nil"/>
            </w:tcBorders>
            <w:vAlign w:val="center"/>
          </w:tcPr>
          <w:p w14:paraId="6C1CD303" w14:textId="5C9D442A" w:rsidR="00804929" w:rsidRPr="00455B98" w:rsidRDefault="00A57687" w:rsidP="006F229A">
            <w:pPr>
              <w:spacing w:line="360" w:lineRule="auto"/>
              <w:rPr>
                <w:b/>
                <w:bCs/>
                <w:sz w:val="28"/>
                <w:szCs w:val="28"/>
                <w:lang w:val="fr-FR"/>
              </w:rPr>
            </w:pPr>
            <w:r w:rsidRPr="007D260B">
              <w:rPr>
                <w:b/>
                <w:bCs/>
                <w:sz w:val="28"/>
                <w:szCs w:val="28"/>
                <w:lang w:val="fr-CH"/>
              </w:rPr>
              <w:t>Mise à disposition de sièges</w:t>
            </w:r>
            <w:r w:rsidRPr="007D260B">
              <w:rPr>
                <w:sz w:val="28"/>
                <w:szCs w:val="28"/>
                <w:lang w:val="fr-CH"/>
              </w:rPr>
              <w:t xml:space="preserve"> et installation de comptoirs bas pour permettre des conversations à égalité entre les personnes de différentes corpulences et utilisant des aides techniques</w:t>
            </w:r>
          </w:p>
        </w:tc>
        <w:tc>
          <w:tcPr>
            <w:tcW w:w="852" w:type="dxa"/>
            <w:tcBorders>
              <w:top w:val="single" w:sz="4" w:space="0" w:color="ADADAD" w:themeColor="background2" w:themeShade="BF"/>
              <w:left w:val="nil"/>
              <w:bottom w:val="single" w:sz="4" w:space="0" w:color="ADADAD" w:themeColor="background2" w:themeShade="BF"/>
              <w:right w:val="nil"/>
            </w:tcBorders>
            <w:vAlign w:val="center"/>
          </w:tcPr>
          <w:p w14:paraId="28D7FBF3" w14:textId="23AD79CB" w:rsidR="00804929" w:rsidRPr="00455B98" w:rsidRDefault="0068479E" w:rsidP="006F229A">
            <w:pPr>
              <w:jc w:val="right"/>
              <w:rPr>
                <w:rFonts w:ascii="MS Gothic" w:eastAsia="MS Gothic" w:hAnsi="MS Gothic"/>
                <w:sz w:val="48"/>
                <w:szCs w:val="48"/>
                <w:lang w:val="fr-FR"/>
              </w:rPr>
            </w:pPr>
            <w:sdt>
              <w:sdtPr>
                <w:rPr>
                  <w:rFonts w:ascii="MS Gothic" w:eastAsia="MS Gothic" w:hAnsi="MS Gothic"/>
                  <w:sz w:val="48"/>
                  <w:szCs w:val="48"/>
                  <w:lang w:val="fr-FR"/>
                </w:rPr>
                <w:alias w:val="Sièges et comptoirs bas"/>
                <w:tag w:val="Sièges et comptoirs bas"/>
                <w:id w:val="-618994155"/>
                <w14:checkbox>
                  <w14:checked w14:val="0"/>
                  <w14:checkedState w14:val="2612" w14:font="MS Gothic"/>
                  <w14:uncheckedState w14:val="2610" w14:font="MS Gothic"/>
                </w14:checkbox>
              </w:sdtPr>
              <w:sdtEndPr/>
              <w:sdtContent>
                <w:r w:rsidR="007357AF">
                  <w:rPr>
                    <w:rFonts w:ascii="MS Gothic" w:eastAsia="MS Gothic" w:hAnsi="MS Gothic" w:hint="eastAsia"/>
                    <w:sz w:val="48"/>
                    <w:szCs w:val="48"/>
                    <w:lang w:val="fr-FR"/>
                  </w:rPr>
                  <w:t>☐</w:t>
                </w:r>
              </w:sdtContent>
            </w:sdt>
          </w:p>
        </w:tc>
      </w:tr>
    </w:tbl>
    <w:p w14:paraId="6AE19166" w14:textId="77777777" w:rsidR="00804929" w:rsidRPr="00455B98" w:rsidRDefault="00804929" w:rsidP="00D5077D">
      <w:pPr>
        <w:spacing w:before="120" w:after="120" w:line="240" w:lineRule="auto"/>
        <w:rPr>
          <w:sz w:val="28"/>
          <w:szCs w:val="28"/>
          <w:lang w:val="fr-FR"/>
        </w:rPr>
      </w:pPr>
    </w:p>
    <w:sectPr w:rsidR="00804929" w:rsidRPr="00455B9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B7F5" w14:textId="77777777" w:rsidR="0068479E" w:rsidRDefault="0068479E" w:rsidP="00246587">
      <w:pPr>
        <w:spacing w:after="0" w:line="240" w:lineRule="auto"/>
      </w:pPr>
      <w:r>
        <w:separator/>
      </w:r>
    </w:p>
  </w:endnote>
  <w:endnote w:type="continuationSeparator" w:id="0">
    <w:p w14:paraId="29C6E3B1" w14:textId="77777777" w:rsidR="0068479E" w:rsidRDefault="0068479E" w:rsidP="00246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8314" w14:textId="77777777" w:rsidR="0068479E" w:rsidRDefault="0068479E" w:rsidP="00246587">
      <w:pPr>
        <w:spacing w:after="0" w:line="240" w:lineRule="auto"/>
      </w:pPr>
      <w:r>
        <w:separator/>
      </w:r>
    </w:p>
  </w:footnote>
  <w:footnote w:type="continuationSeparator" w:id="0">
    <w:p w14:paraId="3AEA153E" w14:textId="77777777" w:rsidR="0068479E" w:rsidRDefault="0068479E" w:rsidP="00246587">
      <w:pPr>
        <w:spacing w:after="0" w:line="240" w:lineRule="auto"/>
      </w:pPr>
      <w:r>
        <w:continuationSeparator/>
      </w:r>
    </w:p>
  </w:footnote>
  <w:footnote w:id="1">
    <w:p w14:paraId="16348A5B" w14:textId="1BCA2965" w:rsidR="00D36D36" w:rsidRPr="00C11567" w:rsidRDefault="00A12617" w:rsidP="00FA0811">
      <w:pPr>
        <w:pStyle w:val="Funotentext"/>
        <w:spacing w:line="360" w:lineRule="auto"/>
        <w:rPr>
          <w:lang w:val="fr-CH"/>
        </w:rPr>
      </w:pPr>
      <w:r w:rsidRPr="003C0BBC">
        <w:rPr>
          <w:rStyle w:val="Funotenzeichen"/>
          <w:sz w:val="22"/>
          <w:szCs w:val="22"/>
        </w:rPr>
        <w:footnoteRef/>
      </w:r>
      <w:r w:rsidRPr="00C11567">
        <w:rPr>
          <w:sz w:val="22"/>
          <w:szCs w:val="22"/>
          <w:lang w:val="fr-CH"/>
        </w:rPr>
        <w:t xml:space="preserve"> </w:t>
      </w:r>
      <w:r w:rsidR="00C11567" w:rsidRPr="007D260B">
        <w:rPr>
          <w:b/>
          <w:bCs/>
          <w:lang w:val="fr-CH"/>
        </w:rPr>
        <w:t>Remarques à l’attention des personnes qui mettent ce formulaire à disposition</w:t>
      </w:r>
    </w:p>
    <w:p w14:paraId="731860E6" w14:textId="77777777" w:rsidR="00FA0811" w:rsidRPr="007D260B" w:rsidRDefault="00FA0811" w:rsidP="00FA0811">
      <w:pPr>
        <w:pStyle w:val="Funotentext"/>
        <w:numPr>
          <w:ilvl w:val="0"/>
          <w:numId w:val="13"/>
        </w:numPr>
        <w:spacing w:line="360" w:lineRule="auto"/>
        <w:ind w:left="714" w:hanging="357"/>
        <w:rPr>
          <w:lang w:val="fr-CH"/>
        </w:rPr>
      </w:pPr>
      <w:r w:rsidRPr="007D260B">
        <w:rPr>
          <w:lang w:val="fr-CH"/>
        </w:rPr>
        <w:t>Supprimez cette note si nécessaire.</w:t>
      </w:r>
    </w:p>
    <w:p w14:paraId="094A39F0" w14:textId="2658027A" w:rsidR="00FA0811" w:rsidRPr="007D260B" w:rsidRDefault="00CA1BFF" w:rsidP="00FA0811">
      <w:pPr>
        <w:pStyle w:val="Funotentext"/>
        <w:numPr>
          <w:ilvl w:val="0"/>
          <w:numId w:val="13"/>
        </w:numPr>
        <w:spacing w:line="360" w:lineRule="auto"/>
        <w:ind w:left="714" w:hanging="357"/>
        <w:rPr>
          <w:lang w:val="fr-CH"/>
        </w:rPr>
      </w:pPr>
      <w:r w:rsidRPr="00CA1BFF">
        <w:rPr>
          <w:lang w:val="fr-CH"/>
        </w:rPr>
        <w:t xml:space="preserve">Accessibilité pour les personnes utilisant un lecteur d’écran: en raison de certaines limites techniques de Word, les formulaires interactifs ne sont pas toujours entièrement compatibles avec le lecteur d’écran NVDA. Ainsi, certaines informations – notamment le contenu des menus de sélection – peuvent ne pas être correctement restituées. </w:t>
      </w:r>
      <w:r w:rsidR="008722E0" w:rsidRPr="008722E0">
        <w:rPr>
          <w:lang w:val="fr-CH"/>
        </w:rPr>
        <w:t>C’est pourquoi le texte est placé avant la case à cocher.</w:t>
      </w:r>
      <w:r w:rsidR="008722E0">
        <w:rPr>
          <w:lang w:val="fr-CH"/>
        </w:rPr>
        <w:t xml:space="preserve"> </w:t>
      </w:r>
      <w:r w:rsidR="00FA0811" w:rsidRPr="007D260B">
        <w:rPr>
          <w:lang w:val="fr-CH"/>
        </w:rPr>
        <w:t xml:space="preserve">Les formulaires électroniques ou les PDF accessibles sont généralement mieux adaptés. Nous vous recommandons donc d’adapter ce modèle et de le proposer sous l’une de ces formes. Pour en savoir plus: </w:t>
      </w:r>
      <w:hyperlink r:id="rId1" w:history="1">
        <w:r w:rsidR="00FA0811" w:rsidRPr="007D260B">
          <w:rPr>
            <w:rStyle w:val="Hyperlink"/>
            <w:color w:val="auto"/>
            <w:lang w:val="fr-CH"/>
          </w:rPr>
          <w:t>agile.ch/</w:t>
        </w:r>
        <w:proofErr w:type="spellStart"/>
        <w:r w:rsidR="00FA0811" w:rsidRPr="007D260B">
          <w:rPr>
            <w:rStyle w:val="Hyperlink"/>
            <w:color w:val="auto"/>
            <w:lang w:val="fr-CH"/>
          </w:rPr>
          <w:t>fr</w:t>
        </w:r>
        <w:proofErr w:type="spellEnd"/>
        <w:r w:rsidR="00FA0811" w:rsidRPr="007D260B">
          <w:rPr>
            <w:rStyle w:val="Hyperlink"/>
            <w:color w:val="auto"/>
            <w:lang w:val="fr-CH"/>
          </w:rPr>
          <w:t>/</w:t>
        </w:r>
        <w:proofErr w:type="spellStart"/>
        <w:r w:rsidR="00FA0811" w:rsidRPr="007D260B">
          <w:rPr>
            <w:rStyle w:val="Hyperlink"/>
            <w:color w:val="auto"/>
            <w:lang w:val="fr-CH"/>
          </w:rPr>
          <w:t>artikel</w:t>
        </w:r>
        <w:proofErr w:type="spellEnd"/>
        <w:r w:rsidR="00FA0811" w:rsidRPr="007D260B">
          <w:rPr>
            <w:rStyle w:val="Hyperlink"/>
            <w:color w:val="auto"/>
            <w:lang w:val="fr-CH"/>
          </w:rPr>
          <w:t>/</w:t>
        </w:r>
        <w:proofErr w:type="spellStart"/>
        <w:r w:rsidR="00FA0811" w:rsidRPr="007D260B">
          <w:rPr>
            <w:rStyle w:val="Hyperlink"/>
            <w:color w:val="auto"/>
            <w:lang w:val="fr-CH"/>
          </w:rPr>
          <w:t>accessibilite</w:t>
        </w:r>
        <w:proofErr w:type="spellEnd"/>
        <w:r w:rsidR="00FA0811" w:rsidRPr="007D260B">
          <w:rPr>
            <w:rStyle w:val="Hyperlink"/>
            <w:color w:val="auto"/>
            <w:lang w:val="fr-CH"/>
          </w:rPr>
          <w:t>-</w:t>
        </w:r>
        <w:proofErr w:type="spellStart"/>
        <w:r w:rsidR="00FA0811" w:rsidRPr="007D260B">
          <w:rPr>
            <w:rStyle w:val="Hyperlink"/>
            <w:color w:val="auto"/>
            <w:lang w:val="fr-CH"/>
          </w:rPr>
          <w:t>numerique</w:t>
        </w:r>
        <w:proofErr w:type="spellEnd"/>
        <w:r w:rsidR="00FA0811" w:rsidRPr="007D260B">
          <w:rPr>
            <w:rStyle w:val="Hyperlink"/>
            <w:color w:val="auto"/>
            <w:lang w:val="fr-CH"/>
          </w:rPr>
          <w:t>-services-publics</w:t>
        </w:r>
      </w:hyperlink>
    </w:p>
    <w:p w14:paraId="7F9D72B1" w14:textId="77777777" w:rsidR="00FA0811" w:rsidRPr="007D260B" w:rsidRDefault="00FA0811" w:rsidP="00FA0811">
      <w:pPr>
        <w:pStyle w:val="Funotentext"/>
        <w:numPr>
          <w:ilvl w:val="0"/>
          <w:numId w:val="13"/>
        </w:numPr>
        <w:spacing w:line="360" w:lineRule="auto"/>
        <w:ind w:left="714" w:hanging="357"/>
        <w:rPr>
          <w:lang w:val="fr-CH"/>
        </w:rPr>
      </w:pPr>
      <w:r w:rsidRPr="007D260B">
        <w:rPr>
          <w:lang w:val="fr-CH"/>
        </w:rPr>
        <w:t xml:space="preserve">Vous pouvez adapter les cases à cocher à l’aide des outils de développement de Word: </w:t>
      </w:r>
      <w:hyperlink r:id="rId2" w:history="1">
        <w:r w:rsidRPr="007D260B">
          <w:rPr>
            <w:rStyle w:val="Hyperlink"/>
            <w:color w:val="auto"/>
            <w:lang w:val="fr-CH"/>
          </w:rPr>
          <w:t>Afficher l’onglet Développeur | Microsoft Support</w:t>
        </w:r>
      </w:hyperlink>
      <w:r w:rsidRPr="007D260B">
        <w:rPr>
          <w:lang w:val="fr-CH"/>
        </w:rPr>
        <w:t>. Important: veillez également à modifier le titre de chaque élément via Outils de développement &gt; Propriétés, afin qu’il soit correctement interprété par les technologies d’assistance.</w:t>
      </w:r>
    </w:p>
    <w:p w14:paraId="69581487" w14:textId="5645ED94" w:rsidR="00FA0811" w:rsidRPr="00FA0811" w:rsidRDefault="00FA0811" w:rsidP="00FA0811">
      <w:pPr>
        <w:pStyle w:val="Funotentext"/>
        <w:numPr>
          <w:ilvl w:val="0"/>
          <w:numId w:val="13"/>
        </w:numPr>
        <w:spacing w:line="360" w:lineRule="auto"/>
        <w:ind w:left="714" w:hanging="357"/>
        <w:rPr>
          <w:sz w:val="18"/>
          <w:szCs w:val="18"/>
          <w:lang w:val="fr-CH"/>
        </w:rPr>
      </w:pPr>
      <w:r w:rsidRPr="007D260B">
        <w:rPr>
          <w:lang w:val="fr-CH"/>
        </w:rPr>
        <w:t xml:space="preserve">Pour en savoir plus: </w:t>
      </w:r>
      <w:hyperlink r:id="rId3" w:history="1">
        <w:r w:rsidRPr="007D260B">
          <w:rPr>
            <w:rStyle w:val="Hyperlink"/>
            <w:color w:val="auto"/>
            <w:lang w:val="fr-CH"/>
          </w:rPr>
          <w:t>agile.ch/</w:t>
        </w:r>
        <w:proofErr w:type="spellStart"/>
        <w:r w:rsidRPr="007D260B">
          <w:rPr>
            <w:rStyle w:val="Hyperlink"/>
            <w:color w:val="auto"/>
            <w:lang w:val="fr-CH"/>
          </w:rPr>
          <w:t>fr</w:t>
        </w:r>
        <w:proofErr w:type="spellEnd"/>
        <w:r w:rsidRPr="007D260B">
          <w:rPr>
            <w:rStyle w:val="Hyperlink"/>
            <w:color w:val="auto"/>
            <w:lang w:val="fr-CH"/>
          </w:rPr>
          <w:t>/nos-dossiers/</w:t>
        </w:r>
        <w:proofErr w:type="spellStart"/>
        <w:r w:rsidRPr="007D260B">
          <w:rPr>
            <w:rStyle w:val="Hyperlink"/>
            <w:color w:val="auto"/>
            <w:lang w:val="fr-CH"/>
          </w:rPr>
          <w:t>accessibilite</w:t>
        </w:r>
        <w:proofErr w:type="spellEnd"/>
      </w:hyperlink>
      <w:r w:rsidRPr="007D260B">
        <w:rPr>
          <w:lang w:val="fr-CH"/>
        </w:rPr>
        <w:t>.</w:t>
      </w:r>
    </w:p>
  </w:footnote>
  <w:footnote w:id="2">
    <w:p w14:paraId="1F341B7E" w14:textId="600FFEFE" w:rsidR="00804929" w:rsidRPr="00934587" w:rsidRDefault="00804929" w:rsidP="00BC7F5A">
      <w:pPr>
        <w:pStyle w:val="Funotentext"/>
        <w:spacing w:line="360" w:lineRule="auto"/>
        <w:rPr>
          <w:lang w:val="fr-CH"/>
        </w:rPr>
      </w:pPr>
      <w:r w:rsidRPr="003C0BBC">
        <w:rPr>
          <w:rStyle w:val="Funotenzeichen"/>
          <w:sz w:val="22"/>
          <w:szCs w:val="22"/>
        </w:rPr>
        <w:footnoteRef/>
      </w:r>
      <w:r w:rsidRPr="00934587">
        <w:rPr>
          <w:sz w:val="22"/>
          <w:szCs w:val="22"/>
          <w:lang w:val="fr-CH"/>
        </w:rPr>
        <w:t xml:space="preserve"> </w:t>
      </w:r>
      <w:r w:rsidR="00934587" w:rsidRPr="007D260B">
        <w:rPr>
          <w:lang w:val="fr-CH"/>
        </w:rPr>
        <w:t xml:space="preserve">Les </w:t>
      </w:r>
      <w:r w:rsidR="00934587" w:rsidRPr="007D260B">
        <w:rPr>
          <w:b/>
          <w:bCs/>
          <w:lang w:val="fr-CH"/>
        </w:rPr>
        <w:t xml:space="preserve">plans tactiles </w:t>
      </w:r>
      <w:r w:rsidR="00934587" w:rsidRPr="007D260B">
        <w:rPr>
          <w:lang w:val="fr-CH"/>
        </w:rPr>
        <w:t>sont composés de lettres ou de symboles en relief, conçus pour être lus par le toucher. Ils sont particulièrement utiles pour les personnes ayant perdu la vue au cours de leur vie et capables de reconnaître les caractères tactiles. Ces plans utilisent généralement des lettres majuscules et des polices sans empattement, afin de faciliter la lecture tactile. En complément, de nombreux plans tactiles intègrent également des informations en braille, pour garantir une accessibilité maximale.</w:t>
      </w:r>
    </w:p>
  </w:footnote>
  <w:footnote w:id="3">
    <w:p w14:paraId="2D0F75A2" w14:textId="7ED93560" w:rsidR="00804929" w:rsidRPr="00F6346E" w:rsidRDefault="00804929" w:rsidP="00BC7F5A">
      <w:pPr>
        <w:pStyle w:val="Funotentext"/>
        <w:spacing w:line="360" w:lineRule="auto"/>
        <w:rPr>
          <w:lang w:val="fr-CH"/>
        </w:rPr>
      </w:pPr>
      <w:r w:rsidRPr="003C0BBC">
        <w:rPr>
          <w:rStyle w:val="Funotenzeichen"/>
        </w:rPr>
        <w:footnoteRef/>
      </w:r>
      <w:r w:rsidRPr="00F6346E">
        <w:rPr>
          <w:lang w:val="fr-CH"/>
        </w:rPr>
        <w:t xml:space="preserve"> </w:t>
      </w:r>
      <w:r w:rsidR="00F6346E" w:rsidRPr="00F6346E">
        <w:rPr>
          <w:lang w:val="fr-CH"/>
        </w:rPr>
        <w:t xml:space="preserve">Le </w:t>
      </w:r>
      <w:r w:rsidR="00F6346E" w:rsidRPr="00F6346E">
        <w:rPr>
          <w:b/>
          <w:bCs/>
          <w:lang w:val="fr-CH"/>
        </w:rPr>
        <w:t xml:space="preserve">braille </w:t>
      </w:r>
      <w:r w:rsidR="00F6346E" w:rsidRPr="00F6346E">
        <w:rPr>
          <w:lang w:val="fr-CH"/>
        </w:rPr>
        <w:t>est un système d’écriture tactile composé de points en relief représentant lettres et chiffres, que les personnes aveugles lisent avec les doigts. Il est principalement utilisé par celles et ceux aveugles de naissance ou ayant perdu la vue très tôt. Le braille est un système international, utilisé dans de nom</w:t>
      </w:r>
      <w:r w:rsidR="00F6346E" w:rsidRPr="00F6346E">
        <w:rPr>
          <w:lang w:val="fr-CH"/>
        </w:rPr>
        <w:softHyphen/>
        <w:t>breuses langues.</w:t>
      </w:r>
    </w:p>
  </w:footnote>
  <w:footnote w:id="4">
    <w:p w14:paraId="0CAB4D84" w14:textId="77777777" w:rsidR="00B72977" w:rsidRPr="007D260B" w:rsidRDefault="00B72977" w:rsidP="008B4480">
      <w:pPr>
        <w:pStyle w:val="Funotentext"/>
        <w:spacing w:line="360" w:lineRule="auto"/>
        <w:rPr>
          <w:lang w:val="fr-CH"/>
        </w:rPr>
      </w:pPr>
      <w:r w:rsidRPr="007D260B">
        <w:rPr>
          <w:rStyle w:val="Funotenzeichen"/>
          <w:lang w:val="fr-CH"/>
        </w:rPr>
        <w:footnoteRef/>
      </w:r>
      <w:r w:rsidRPr="007D260B">
        <w:rPr>
          <w:lang w:val="fr-CH"/>
        </w:rPr>
        <w:t xml:space="preserve"> Les informations et signaux doivent toujours être perceptibles par au moins deux sens, généralement la vue et l’ouïe. Par exemple, lorsqu’un ticket doit être retiré à l’entrée, le numéro est affiché visuellement et annoncé acoustiquement, afin d’être accessible à un plus grand nombre de personnes. Dans la mesure du possible, le personnel est également invité à accompagner les personnes ayant besoin d’assistance jusqu’au guichet approprié.</w:t>
      </w:r>
    </w:p>
  </w:footnote>
  <w:footnote w:id="5">
    <w:p w14:paraId="1881AEA2" w14:textId="48781507" w:rsidR="00804929" w:rsidRPr="00BA79BC" w:rsidRDefault="00804929" w:rsidP="00BC7F5A">
      <w:pPr>
        <w:pStyle w:val="Funotentext"/>
        <w:keepLines/>
        <w:spacing w:line="360" w:lineRule="auto"/>
        <w:rPr>
          <w:lang w:val="fr-CH"/>
        </w:rPr>
      </w:pPr>
      <w:r w:rsidRPr="003C0BBC">
        <w:rPr>
          <w:rStyle w:val="Funotenzeichen"/>
        </w:rPr>
        <w:footnoteRef/>
      </w:r>
      <w:r w:rsidRPr="00E662A3">
        <w:rPr>
          <w:lang w:val="fr-CH"/>
        </w:rPr>
        <w:t xml:space="preserve"> </w:t>
      </w:r>
      <w:r w:rsidR="00BA79BC" w:rsidRPr="007D260B">
        <w:rPr>
          <w:lang w:val="fr-CH"/>
        </w:rPr>
        <w:t xml:space="preserve">La </w:t>
      </w:r>
      <w:hyperlink r:id="rId4" w:history="1">
        <w:r w:rsidR="00BA79BC" w:rsidRPr="007D260B">
          <w:rPr>
            <w:rStyle w:val="Hyperlink"/>
            <w:color w:val="auto"/>
            <w:lang w:val="fr-CH"/>
          </w:rPr>
          <w:t>norme SIA 500 «Constructions sans obstacles»</w:t>
        </w:r>
      </w:hyperlink>
      <w:r w:rsidR="00BA79BC" w:rsidRPr="007D260B">
        <w:rPr>
          <w:lang w:val="fr-CH"/>
        </w:rPr>
        <w:t>,</w:t>
      </w:r>
      <w:r w:rsidR="00BA79BC" w:rsidRPr="007D260B">
        <w:rPr>
          <w:b/>
          <w:bCs/>
          <w:lang w:val="fr-CH"/>
        </w:rPr>
        <w:t xml:space="preserve"> </w:t>
      </w:r>
      <w:r w:rsidR="00BA79BC" w:rsidRPr="007D260B">
        <w:rPr>
          <w:lang w:val="fr-CH"/>
        </w:rPr>
        <w:t xml:space="preserve">publiée par la Société suisse des ingénieurs et des architectes (SIA) (état: 10.9.2025) définit, sur la base de la loi sur l'égalité pour les personnes handicapées (LHand), la norme officielle pour la conception de constructions sans obstacles en Suisse et énumère les exigences minimales à respecter, notamment pour les constructions accessibles au public. </w:t>
      </w:r>
      <w:r w:rsidR="00BA79BC">
        <w:fldChar w:fldCharType="begin"/>
      </w:r>
      <w:r w:rsidR="00BA79BC" w:rsidRPr="00564A40">
        <w:rPr>
          <w:lang w:val="fr-CH"/>
        </w:rPr>
        <w:instrText>HYPERLINK "https://architecturesansobstacles.ch/dispositions-legales/loi-sur-legalite-pour-les-handicapes-lhand/?xdomain_data=jIbq%2B%2Bh%2BVVol%2F0H6kqdp0q%2FWvFYXAiW8XJg8bb8pWkmKlt8TDuEX9N4A5Uy8O%2Fi4"</w:instrText>
      </w:r>
      <w:r w:rsidR="00BA79BC">
        <w:fldChar w:fldCharType="separate"/>
      </w:r>
      <w:r w:rsidR="00BA79BC" w:rsidRPr="007D260B">
        <w:rPr>
          <w:rStyle w:val="Hyperlink"/>
          <w:color w:val="auto"/>
          <w:lang w:val="fr-CH"/>
        </w:rPr>
        <w:t>La loi sur l'égalité pour les personnes handicapées (LHand)</w:t>
      </w:r>
      <w:r w:rsidR="00BA79BC">
        <w:fldChar w:fldCharType="end"/>
      </w:r>
      <w:r w:rsidR="00BA79BC" w:rsidRPr="007D260B">
        <w:rPr>
          <w:lang w:val="fr-CH"/>
        </w:rPr>
        <w:t xml:space="preserve"> ainsi que les </w:t>
      </w:r>
      <w:r w:rsidR="00BA79BC">
        <w:fldChar w:fldCharType="begin"/>
      </w:r>
      <w:r w:rsidR="00BA79BC" w:rsidRPr="00564A40">
        <w:rPr>
          <w:lang w:val="fr-CH"/>
        </w:rPr>
        <w:instrText>HYPERLINK "https://architecturesansobstacles.ch/informationstechniques/?xdomain_data=%2F%2BNp1gdkC8LqwgYUC4%2Fbem9kpBpc4RBJhFfrNP%2FPVHfjy%2FtHTik8FI6%2BvfMFoBx1"</w:instrText>
      </w:r>
      <w:r w:rsidR="00BA79BC">
        <w:fldChar w:fldCharType="separate"/>
      </w:r>
      <w:r w:rsidR="00BA79BC" w:rsidRPr="007D260B">
        <w:rPr>
          <w:rStyle w:val="Hyperlink"/>
          <w:color w:val="auto"/>
          <w:lang w:val="fr-CH"/>
        </w:rPr>
        <w:t>lois et règlements cantonaux et communaux</w:t>
      </w:r>
      <w:r w:rsidR="00BA79BC">
        <w:fldChar w:fldCharType="end"/>
      </w:r>
      <w:r w:rsidR="00BA79BC" w:rsidRPr="007D260B">
        <w:rPr>
          <w:lang w:val="fr-CH"/>
        </w:rPr>
        <w:t xml:space="preserve"> régissent les lieux où les constructions doivent être accessibles et où la norme doit être respectée de manière contraignante.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205"/>
    <w:multiLevelType w:val="hybridMultilevel"/>
    <w:tmpl w:val="5BDEDE0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9D47612"/>
    <w:multiLevelType w:val="hybridMultilevel"/>
    <w:tmpl w:val="D40A0BA6"/>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4764DF3"/>
    <w:multiLevelType w:val="hybridMultilevel"/>
    <w:tmpl w:val="55D8BE0E"/>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D5B5ADA"/>
    <w:multiLevelType w:val="hybridMultilevel"/>
    <w:tmpl w:val="493A9342"/>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E6C466B"/>
    <w:multiLevelType w:val="hybridMultilevel"/>
    <w:tmpl w:val="657A96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16011F4"/>
    <w:multiLevelType w:val="hybridMultilevel"/>
    <w:tmpl w:val="E83A8BF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2AF4C7C"/>
    <w:multiLevelType w:val="hybridMultilevel"/>
    <w:tmpl w:val="AFF26C0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55014EE"/>
    <w:multiLevelType w:val="hybridMultilevel"/>
    <w:tmpl w:val="50D46DA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11C38A0"/>
    <w:multiLevelType w:val="hybridMultilevel"/>
    <w:tmpl w:val="3B2A0A30"/>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88B5C2D"/>
    <w:multiLevelType w:val="hybridMultilevel"/>
    <w:tmpl w:val="E972696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BFD1CD6"/>
    <w:multiLevelType w:val="multilevel"/>
    <w:tmpl w:val="08F4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0081C"/>
    <w:multiLevelType w:val="hybridMultilevel"/>
    <w:tmpl w:val="A830A5BE"/>
    <w:lvl w:ilvl="0" w:tplc="08070003">
      <w:start w:val="1"/>
      <w:numFmt w:val="bullet"/>
      <w:lvlText w:val="o"/>
      <w:lvlJc w:val="left"/>
      <w:pPr>
        <w:ind w:left="1068" w:hanging="360"/>
      </w:pPr>
      <w:rPr>
        <w:rFonts w:ascii="Courier New" w:hAnsi="Courier New" w:cs="Courier New"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2" w15:restartNumberingAfterBreak="0">
    <w:nsid w:val="78970263"/>
    <w:multiLevelType w:val="hybridMultilevel"/>
    <w:tmpl w:val="89D410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CE10C70"/>
    <w:multiLevelType w:val="hybridMultilevel"/>
    <w:tmpl w:val="8CECAF76"/>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99997844">
    <w:abstractNumId w:val="5"/>
  </w:num>
  <w:num w:numId="2" w16cid:durableId="581064968">
    <w:abstractNumId w:val="7"/>
  </w:num>
  <w:num w:numId="3" w16cid:durableId="238948178">
    <w:abstractNumId w:val="9"/>
  </w:num>
  <w:num w:numId="4" w16cid:durableId="244151339">
    <w:abstractNumId w:val="11"/>
  </w:num>
  <w:num w:numId="5" w16cid:durableId="756830158">
    <w:abstractNumId w:val="3"/>
  </w:num>
  <w:num w:numId="6" w16cid:durableId="1947157830">
    <w:abstractNumId w:val="12"/>
  </w:num>
  <w:num w:numId="7" w16cid:durableId="923957132">
    <w:abstractNumId w:val="0"/>
  </w:num>
  <w:num w:numId="8" w16cid:durableId="1792868386">
    <w:abstractNumId w:val="6"/>
  </w:num>
  <w:num w:numId="9" w16cid:durableId="1449617701">
    <w:abstractNumId w:val="13"/>
  </w:num>
  <w:num w:numId="10" w16cid:durableId="249512508">
    <w:abstractNumId w:val="1"/>
  </w:num>
  <w:num w:numId="11" w16cid:durableId="1181432313">
    <w:abstractNumId w:val="2"/>
  </w:num>
  <w:num w:numId="12" w16cid:durableId="151652514">
    <w:abstractNumId w:val="8"/>
  </w:num>
  <w:num w:numId="13" w16cid:durableId="416825833">
    <w:abstractNumId w:val="4"/>
  </w:num>
  <w:num w:numId="14" w16cid:durableId="1755466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DC"/>
    <w:rsid w:val="00000449"/>
    <w:rsid w:val="00004578"/>
    <w:rsid w:val="00005C0E"/>
    <w:rsid w:val="0001500F"/>
    <w:rsid w:val="000233B1"/>
    <w:rsid w:val="00026DA8"/>
    <w:rsid w:val="000344AA"/>
    <w:rsid w:val="00040FBA"/>
    <w:rsid w:val="00044B5F"/>
    <w:rsid w:val="00045964"/>
    <w:rsid w:val="0004599B"/>
    <w:rsid w:val="000474E9"/>
    <w:rsid w:val="000508A3"/>
    <w:rsid w:val="00056F5C"/>
    <w:rsid w:val="00060F42"/>
    <w:rsid w:val="000636D7"/>
    <w:rsid w:val="00063742"/>
    <w:rsid w:val="00063ED1"/>
    <w:rsid w:val="000662C7"/>
    <w:rsid w:val="00066E65"/>
    <w:rsid w:val="00072BF9"/>
    <w:rsid w:val="00073C34"/>
    <w:rsid w:val="000800AF"/>
    <w:rsid w:val="0008582C"/>
    <w:rsid w:val="00092C46"/>
    <w:rsid w:val="000931C9"/>
    <w:rsid w:val="000A4689"/>
    <w:rsid w:val="000A4E6A"/>
    <w:rsid w:val="000B3D74"/>
    <w:rsid w:val="000B4537"/>
    <w:rsid w:val="000B72DC"/>
    <w:rsid w:val="000C3BF8"/>
    <w:rsid w:val="000C3E40"/>
    <w:rsid w:val="000C5C18"/>
    <w:rsid w:val="000C676B"/>
    <w:rsid w:val="000D10CB"/>
    <w:rsid w:val="000D182B"/>
    <w:rsid w:val="000D381E"/>
    <w:rsid w:val="000D5E4F"/>
    <w:rsid w:val="000E1666"/>
    <w:rsid w:val="000E6F58"/>
    <w:rsid w:val="000E72FF"/>
    <w:rsid w:val="000E7E71"/>
    <w:rsid w:val="000F34D2"/>
    <w:rsid w:val="000F403E"/>
    <w:rsid w:val="000F74FD"/>
    <w:rsid w:val="00101305"/>
    <w:rsid w:val="0010218A"/>
    <w:rsid w:val="0010418A"/>
    <w:rsid w:val="001067F5"/>
    <w:rsid w:val="00107B4C"/>
    <w:rsid w:val="00110776"/>
    <w:rsid w:val="0011348A"/>
    <w:rsid w:val="00125B55"/>
    <w:rsid w:val="00126187"/>
    <w:rsid w:val="00127641"/>
    <w:rsid w:val="001309A9"/>
    <w:rsid w:val="00130BBC"/>
    <w:rsid w:val="00133104"/>
    <w:rsid w:val="0014059E"/>
    <w:rsid w:val="001442E7"/>
    <w:rsid w:val="00151810"/>
    <w:rsid w:val="0015562A"/>
    <w:rsid w:val="001600CF"/>
    <w:rsid w:val="00162540"/>
    <w:rsid w:val="001672E6"/>
    <w:rsid w:val="00173311"/>
    <w:rsid w:val="00174A67"/>
    <w:rsid w:val="001771F0"/>
    <w:rsid w:val="00184C40"/>
    <w:rsid w:val="00185717"/>
    <w:rsid w:val="0019312E"/>
    <w:rsid w:val="001943FE"/>
    <w:rsid w:val="001965D5"/>
    <w:rsid w:val="00196F89"/>
    <w:rsid w:val="001A0717"/>
    <w:rsid w:val="001A3BA7"/>
    <w:rsid w:val="001B087F"/>
    <w:rsid w:val="001B1E1C"/>
    <w:rsid w:val="001B65E0"/>
    <w:rsid w:val="001B65EA"/>
    <w:rsid w:val="001B7049"/>
    <w:rsid w:val="001B7172"/>
    <w:rsid w:val="001C0BB3"/>
    <w:rsid w:val="001C1FC7"/>
    <w:rsid w:val="001C44B9"/>
    <w:rsid w:val="001C5580"/>
    <w:rsid w:val="001D35AD"/>
    <w:rsid w:val="001D4F44"/>
    <w:rsid w:val="001D65C8"/>
    <w:rsid w:val="001E54B2"/>
    <w:rsid w:val="001E59A8"/>
    <w:rsid w:val="001E76EB"/>
    <w:rsid w:val="001F19D3"/>
    <w:rsid w:val="001F2C09"/>
    <w:rsid w:val="001F4B03"/>
    <w:rsid w:val="001F5F12"/>
    <w:rsid w:val="001F6472"/>
    <w:rsid w:val="00203716"/>
    <w:rsid w:val="0020747E"/>
    <w:rsid w:val="002134EC"/>
    <w:rsid w:val="00231ABB"/>
    <w:rsid w:val="00234C32"/>
    <w:rsid w:val="00237385"/>
    <w:rsid w:val="002432E5"/>
    <w:rsid w:val="00245B38"/>
    <w:rsid w:val="00246587"/>
    <w:rsid w:val="00247435"/>
    <w:rsid w:val="00250E60"/>
    <w:rsid w:val="00251423"/>
    <w:rsid w:val="00261374"/>
    <w:rsid w:val="0026500B"/>
    <w:rsid w:val="00265030"/>
    <w:rsid w:val="002666EC"/>
    <w:rsid w:val="0027324A"/>
    <w:rsid w:val="00275235"/>
    <w:rsid w:val="00282B94"/>
    <w:rsid w:val="002830AC"/>
    <w:rsid w:val="00284A57"/>
    <w:rsid w:val="00285789"/>
    <w:rsid w:val="00292EC1"/>
    <w:rsid w:val="002947F5"/>
    <w:rsid w:val="002958C5"/>
    <w:rsid w:val="002A0D80"/>
    <w:rsid w:val="002A19C9"/>
    <w:rsid w:val="002A3E97"/>
    <w:rsid w:val="002B4BBF"/>
    <w:rsid w:val="002B64C6"/>
    <w:rsid w:val="002B75F7"/>
    <w:rsid w:val="002C01B1"/>
    <w:rsid w:val="002C1382"/>
    <w:rsid w:val="002C1D08"/>
    <w:rsid w:val="002C392A"/>
    <w:rsid w:val="002C6B7E"/>
    <w:rsid w:val="002D1519"/>
    <w:rsid w:val="002D27D1"/>
    <w:rsid w:val="002D36B3"/>
    <w:rsid w:val="002D3B07"/>
    <w:rsid w:val="002E3229"/>
    <w:rsid w:val="002E551B"/>
    <w:rsid w:val="002E619E"/>
    <w:rsid w:val="002F29E9"/>
    <w:rsid w:val="00303002"/>
    <w:rsid w:val="00305032"/>
    <w:rsid w:val="003100B0"/>
    <w:rsid w:val="00323883"/>
    <w:rsid w:val="003324F9"/>
    <w:rsid w:val="00333578"/>
    <w:rsid w:val="00333A48"/>
    <w:rsid w:val="0034239F"/>
    <w:rsid w:val="00343D12"/>
    <w:rsid w:val="00344891"/>
    <w:rsid w:val="00344B54"/>
    <w:rsid w:val="00344E2B"/>
    <w:rsid w:val="003532C5"/>
    <w:rsid w:val="0035402B"/>
    <w:rsid w:val="00355B96"/>
    <w:rsid w:val="003570BD"/>
    <w:rsid w:val="003601FD"/>
    <w:rsid w:val="00367018"/>
    <w:rsid w:val="00371C9B"/>
    <w:rsid w:val="00372732"/>
    <w:rsid w:val="00376A7E"/>
    <w:rsid w:val="003854DA"/>
    <w:rsid w:val="003861B0"/>
    <w:rsid w:val="003903F6"/>
    <w:rsid w:val="0039469E"/>
    <w:rsid w:val="00395C4F"/>
    <w:rsid w:val="00396390"/>
    <w:rsid w:val="003A24CC"/>
    <w:rsid w:val="003A4357"/>
    <w:rsid w:val="003A4417"/>
    <w:rsid w:val="003B175C"/>
    <w:rsid w:val="003B69CF"/>
    <w:rsid w:val="003B7CDA"/>
    <w:rsid w:val="003C0BBC"/>
    <w:rsid w:val="003C1115"/>
    <w:rsid w:val="003C2CBA"/>
    <w:rsid w:val="003C4281"/>
    <w:rsid w:val="003C59BB"/>
    <w:rsid w:val="003C7CB1"/>
    <w:rsid w:val="003D0CBE"/>
    <w:rsid w:val="003D10EB"/>
    <w:rsid w:val="003D606C"/>
    <w:rsid w:val="003D7EB0"/>
    <w:rsid w:val="003E03D5"/>
    <w:rsid w:val="003E5984"/>
    <w:rsid w:val="003E59FA"/>
    <w:rsid w:val="003F07F8"/>
    <w:rsid w:val="003F0D46"/>
    <w:rsid w:val="003F2972"/>
    <w:rsid w:val="003F73FC"/>
    <w:rsid w:val="00407F87"/>
    <w:rsid w:val="004105A8"/>
    <w:rsid w:val="0041077F"/>
    <w:rsid w:val="00410C96"/>
    <w:rsid w:val="00417869"/>
    <w:rsid w:val="0042153B"/>
    <w:rsid w:val="004326BD"/>
    <w:rsid w:val="00440950"/>
    <w:rsid w:val="00455B98"/>
    <w:rsid w:val="00461A30"/>
    <w:rsid w:val="00463B4C"/>
    <w:rsid w:val="00463E51"/>
    <w:rsid w:val="0046482A"/>
    <w:rsid w:val="00465A64"/>
    <w:rsid w:val="0046662B"/>
    <w:rsid w:val="0046760E"/>
    <w:rsid w:val="00472806"/>
    <w:rsid w:val="004750FC"/>
    <w:rsid w:val="004829D8"/>
    <w:rsid w:val="0048448F"/>
    <w:rsid w:val="004846FB"/>
    <w:rsid w:val="00484736"/>
    <w:rsid w:val="00485F8F"/>
    <w:rsid w:val="00487D16"/>
    <w:rsid w:val="004918F0"/>
    <w:rsid w:val="00492160"/>
    <w:rsid w:val="00494C48"/>
    <w:rsid w:val="004950D7"/>
    <w:rsid w:val="004957B5"/>
    <w:rsid w:val="004A0E17"/>
    <w:rsid w:val="004A250E"/>
    <w:rsid w:val="004A29C9"/>
    <w:rsid w:val="004A361A"/>
    <w:rsid w:val="004A4D6F"/>
    <w:rsid w:val="004A54C6"/>
    <w:rsid w:val="004B3AE9"/>
    <w:rsid w:val="004B4918"/>
    <w:rsid w:val="004B61AC"/>
    <w:rsid w:val="004B7D29"/>
    <w:rsid w:val="004C29C5"/>
    <w:rsid w:val="004C49DB"/>
    <w:rsid w:val="004C4C36"/>
    <w:rsid w:val="004D6504"/>
    <w:rsid w:val="004E2B4E"/>
    <w:rsid w:val="004E2BC7"/>
    <w:rsid w:val="004E37FA"/>
    <w:rsid w:val="004E4D87"/>
    <w:rsid w:val="004E583F"/>
    <w:rsid w:val="004E5E55"/>
    <w:rsid w:val="004F455B"/>
    <w:rsid w:val="004F46DE"/>
    <w:rsid w:val="004F76F9"/>
    <w:rsid w:val="004F7B95"/>
    <w:rsid w:val="00503153"/>
    <w:rsid w:val="0052479E"/>
    <w:rsid w:val="005263B3"/>
    <w:rsid w:val="00531633"/>
    <w:rsid w:val="00533CFD"/>
    <w:rsid w:val="005352E5"/>
    <w:rsid w:val="00540D55"/>
    <w:rsid w:val="0054259B"/>
    <w:rsid w:val="00554F8F"/>
    <w:rsid w:val="00557992"/>
    <w:rsid w:val="005619CD"/>
    <w:rsid w:val="00564167"/>
    <w:rsid w:val="00564A40"/>
    <w:rsid w:val="00570BBF"/>
    <w:rsid w:val="00571476"/>
    <w:rsid w:val="00571F3E"/>
    <w:rsid w:val="005751E2"/>
    <w:rsid w:val="005801A1"/>
    <w:rsid w:val="00583823"/>
    <w:rsid w:val="0059225E"/>
    <w:rsid w:val="005938BC"/>
    <w:rsid w:val="005A19F2"/>
    <w:rsid w:val="005A35A0"/>
    <w:rsid w:val="005B1303"/>
    <w:rsid w:val="005C4D1D"/>
    <w:rsid w:val="005D3E96"/>
    <w:rsid w:val="005E1B54"/>
    <w:rsid w:val="005E4C6E"/>
    <w:rsid w:val="005E5E9D"/>
    <w:rsid w:val="005E600E"/>
    <w:rsid w:val="005E6746"/>
    <w:rsid w:val="005E7AF0"/>
    <w:rsid w:val="005F3DA9"/>
    <w:rsid w:val="005F545D"/>
    <w:rsid w:val="005F7255"/>
    <w:rsid w:val="006000AF"/>
    <w:rsid w:val="00600CC4"/>
    <w:rsid w:val="00601C7A"/>
    <w:rsid w:val="0060644E"/>
    <w:rsid w:val="00606559"/>
    <w:rsid w:val="0060661A"/>
    <w:rsid w:val="006079C8"/>
    <w:rsid w:val="00610002"/>
    <w:rsid w:val="00611AF7"/>
    <w:rsid w:val="00613467"/>
    <w:rsid w:val="00613865"/>
    <w:rsid w:val="00616BDC"/>
    <w:rsid w:val="00630091"/>
    <w:rsid w:val="0063029F"/>
    <w:rsid w:val="00636BA1"/>
    <w:rsid w:val="00637C06"/>
    <w:rsid w:val="00637E75"/>
    <w:rsid w:val="00641023"/>
    <w:rsid w:val="006444EB"/>
    <w:rsid w:val="006465E6"/>
    <w:rsid w:val="0065121A"/>
    <w:rsid w:val="00651C84"/>
    <w:rsid w:val="0065604B"/>
    <w:rsid w:val="00656CEC"/>
    <w:rsid w:val="00657D9B"/>
    <w:rsid w:val="00664599"/>
    <w:rsid w:val="006738D7"/>
    <w:rsid w:val="006748F9"/>
    <w:rsid w:val="006749BF"/>
    <w:rsid w:val="00676896"/>
    <w:rsid w:val="006773E0"/>
    <w:rsid w:val="0068479E"/>
    <w:rsid w:val="00686BC7"/>
    <w:rsid w:val="00697EC0"/>
    <w:rsid w:val="006A385C"/>
    <w:rsid w:val="006B1F17"/>
    <w:rsid w:val="006B3041"/>
    <w:rsid w:val="006B4614"/>
    <w:rsid w:val="006B4A30"/>
    <w:rsid w:val="006C166F"/>
    <w:rsid w:val="006C1953"/>
    <w:rsid w:val="006C5D15"/>
    <w:rsid w:val="006C6FA5"/>
    <w:rsid w:val="006D3DA6"/>
    <w:rsid w:val="006E66AD"/>
    <w:rsid w:val="006E66E0"/>
    <w:rsid w:val="006E7AF9"/>
    <w:rsid w:val="006F1252"/>
    <w:rsid w:val="006F2ED9"/>
    <w:rsid w:val="006F7478"/>
    <w:rsid w:val="007009C7"/>
    <w:rsid w:val="0070250E"/>
    <w:rsid w:val="0070288E"/>
    <w:rsid w:val="00710570"/>
    <w:rsid w:val="00717AAA"/>
    <w:rsid w:val="00722A73"/>
    <w:rsid w:val="007274EB"/>
    <w:rsid w:val="00734BF7"/>
    <w:rsid w:val="007357AF"/>
    <w:rsid w:val="00735DE0"/>
    <w:rsid w:val="007372DC"/>
    <w:rsid w:val="007402AF"/>
    <w:rsid w:val="00740D96"/>
    <w:rsid w:val="0074160B"/>
    <w:rsid w:val="00745594"/>
    <w:rsid w:val="007529ED"/>
    <w:rsid w:val="00752FE5"/>
    <w:rsid w:val="0076220A"/>
    <w:rsid w:val="00764200"/>
    <w:rsid w:val="007665ED"/>
    <w:rsid w:val="00771883"/>
    <w:rsid w:val="0077510C"/>
    <w:rsid w:val="00776029"/>
    <w:rsid w:val="00777F77"/>
    <w:rsid w:val="00780474"/>
    <w:rsid w:val="00782661"/>
    <w:rsid w:val="00784628"/>
    <w:rsid w:val="00784DCE"/>
    <w:rsid w:val="00794FA6"/>
    <w:rsid w:val="007A004C"/>
    <w:rsid w:val="007A15A4"/>
    <w:rsid w:val="007A2092"/>
    <w:rsid w:val="007B44F4"/>
    <w:rsid w:val="007B45D0"/>
    <w:rsid w:val="007B4AB2"/>
    <w:rsid w:val="007B5A76"/>
    <w:rsid w:val="007B7820"/>
    <w:rsid w:val="007B78C7"/>
    <w:rsid w:val="007B7B0C"/>
    <w:rsid w:val="007C0D49"/>
    <w:rsid w:val="007C2DFA"/>
    <w:rsid w:val="007D2137"/>
    <w:rsid w:val="007D668F"/>
    <w:rsid w:val="007E22C0"/>
    <w:rsid w:val="007E23BE"/>
    <w:rsid w:val="007F11BC"/>
    <w:rsid w:val="007F36F3"/>
    <w:rsid w:val="007F37AA"/>
    <w:rsid w:val="00804929"/>
    <w:rsid w:val="00805069"/>
    <w:rsid w:val="00806A0F"/>
    <w:rsid w:val="008117FF"/>
    <w:rsid w:val="00820394"/>
    <w:rsid w:val="0082168D"/>
    <w:rsid w:val="00822932"/>
    <w:rsid w:val="00827B8E"/>
    <w:rsid w:val="00830536"/>
    <w:rsid w:val="00831922"/>
    <w:rsid w:val="00837212"/>
    <w:rsid w:val="00845CF1"/>
    <w:rsid w:val="0085065C"/>
    <w:rsid w:val="0085223D"/>
    <w:rsid w:val="00864CF8"/>
    <w:rsid w:val="008678E8"/>
    <w:rsid w:val="00870A3E"/>
    <w:rsid w:val="00870FFE"/>
    <w:rsid w:val="008722E0"/>
    <w:rsid w:val="00873279"/>
    <w:rsid w:val="00875147"/>
    <w:rsid w:val="008762B2"/>
    <w:rsid w:val="00877CEF"/>
    <w:rsid w:val="00881F44"/>
    <w:rsid w:val="00882752"/>
    <w:rsid w:val="00882F97"/>
    <w:rsid w:val="00883756"/>
    <w:rsid w:val="00891866"/>
    <w:rsid w:val="00892388"/>
    <w:rsid w:val="008958D8"/>
    <w:rsid w:val="00897E76"/>
    <w:rsid w:val="008A54EA"/>
    <w:rsid w:val="008B338D"/>
    <w:rsid w:val="008B4480"/>
    <w:rsid w:val="008B505B"/>
    <w:rsid w:val="008C2048"/>
    <w:rsid w:val="008C614F"/>
    <w:rsid w:val="008C72C3"/>
    <w:rsid w:val="008C7EAD"/>
    <w:rsid w:val="008D5C95"/>
    <w:rsid w:val="008E2AB0"/>
    <w:rsid w:val="008E76BE"/>
    <w:rsid w:val="008E79B7"/>
    <w:rsid w:val="008E7F83"/>
    <w:rsid w:val="008F0B18"/>
    <w:rsid w:val="008F30F0"/>
    <w:rsid w:val="008F4ADA"/>
    <w:rsid w:val="008F7928"/>
    <w:rsid w:val="009022B8"/>
    <w:rsid w:val="0090326A"/>
    <w:rsid w:val="009039F4"/>
    <w:rsid w:val="00914895"/>
    <w:rsid w:val="00916FEC"/>
    <w:rsid w:val="00920C4E"/>
    <w:rsid w:val="00926D94"/>
    <w:rsid w:val="00930089"/>
    <w:rsid w:val="00931B4A"/>
    <w:rsid w:val="00934584"/>
    <w:rsid w:val="00934587"/>
    <w:rsid w:val="009346C6"/>
    <w:rsid w:val="00937FD9"/>
    <w:rsid w:val="009406B5"/>
    <w:rsid w:val="00941C69"/>
    <w:rsid w:val="00942ED7"/>
    <w:rsid w:val="00945193"/>
    <w:rsid w:val="009467D9"/>
    <w:rsid w:val="00946F49"/>
    <w:rsid w:val="00955C26"/>
    <w:rsid w:val="009614AF"/>
    <w:rsid w:val="00965132"/>
    <w:rsid w:val="00966E9F"/>
    <w:rsid w:val="0096731C"/>
    <w:rsid w:val="00980FAD"/>
    <w:rsid w:val="00984758"/>
    <w:rsid w:val="00991A9F"/>
    <w:rsid w:val="00995E63"/>
    <w:rsid w:val="00997C84"/>
    <w:rsid w:val="009A2236"/>
    <w:rsid w:val="009A44E1"/>
    <w:rsid w:val="009A5C01"/>
    <w:rsid w:val="009A5F75"/>
    <w:rsid w:val="009B2BEC"/>
    <w:rsid w:val="009B3177"/>
    <w:rsid w:val="009C6A42"/>
    <w:rsid w:val="009C6B79"/>
    <w:rsid w:val="009D39EC"/>
    <w:rsid w:val="009E255E"/>
    <w:rsid w:val="009E26A7"/>
    <w:rsid w:val="009E3144"/>
    <w:rsid w:val="009E31CD"/>
    <w:rsid w:val="009E4C3F"/>
    <w:rsid w:val="009F04FC"/>
    <w:rsid w:val="009F63B6"/>
    <w:rsid w:val="009F6D86"/>
    <w:rsid w:val="00A04952"/>
    <w:rsid w:val="00A1129E"/>
    <w:rsid w:val="00A12617"/>
    <w:rsid w:val="00A12E71"/>
    <w:rsid w:val="00A13500"/>
    <w:rsid w:val="00A147B1"/>
    <w:rsid w:val="00A14865"/>
    <w:rsid w:val="00A17132"/>
    <w:rsid w:val="00A17613"/>
    <w:rsid w:val="00A2644E"/>
    <w:rsid w:val="00A354AE"/>
    <w:rsid w:val="00A40111"/>
    <w:rsid w:val="00A52AB0"/>
    <w:rsid w:val="00A5468F"/>
    <w:rsid w:val="00A57687"/>
    <w:rsid w:val="00A61986"/>
    <w:rsid w:val="00A63722"/>
    <w:rsid w:val="00A75D37"/>
    <w:rsid w:val="00A77CEE"/>
    <w:rsid w:val="00A83FEF"/>
    <w:rsid w:val="00A86715"/>
    <w:rsid w:val="00A95399"/>
    <w:rsid w:val="00A95D79"/>
    <w:rsid w:val="00A9791D"/>
    <w:rsid w:val="00AA16A5"/>
    <w:rsid w:val="00AA308B"/>
    <w:rsid w:val="00AB2AE8"/>
    <w:rsid w:val="00AB408B"/>
    <w:rsid w:val="00AB68D0"/>
    <w:rsid w:val="00AC04AB"/>
    <w:rsid w:val="00AC1F01"/>
    <w:rsid w:val="00AC223A"/>
    <w:rsid w:val="00AC45AB"/>
    <w:rsid w:val="00AC76A8"/>
    <w:rsid w:val="00AD1406"/>
    <w:rsid w:val="00AD22C5"/>
    <w:rsid w:val="00AE16AC"/>
    <w:rsid w:val="00AE3E88"/>
    <w:rsid w:val="00AF2191"/>
    <w:rsid w:val="00AF458C"/>
    <w:rsid w:val="00AF5050"/>
    <w:rsid w:val="00AF605E"/>
    <w:rsid w:val="00B0364C"/>
    <w:rsid w:val="00B03C70"/>
    <w:rsid w:val="00B04849"/>
    <w:rsid w:val="00B05B2B"/>
    <w:rsid w:val="00B06ACF"/>
    <w:rsid w:val="00B07720"/>
    <w:rsid w:val="00B16609"/>
    <w:rsid w:val="00B17B96"/>
    <w:rsid w:val="00B254A2"/>
    <w:rsid w:val="00B257B1"/>
    <w:rsid w:val="00B31945"/>
    <w:rsid w:val="00B324DF"/>
    <w:rsid w:val="00B35C80"/>
    <w:rsid w:val="00B4054C"/>
    <w:rsid w:val="00B40C24"/>
    <w:rsid w:val="00B47751"/>
    <w:rsid w:val="00B555E3"/>
    <w:rsid w:val="00B6118C"/>
    <w:rsid w:val="00B661FB"/>
    <w:rsid w:val="00B6669E"/>
    <w:rsid w:val="00B716B8"/>
    <w:rsid w:val="00B7189F"/>
    <w:rsid w:val="00B72977"/>
    <w:rsid w:val="00B75BE1"/>
    <w:rsid w:val="00B77AB1"/>
    <w:rsid w:val="00B821B4"/>
    <w:rsid w:val="00B829D9"/>
    <w:rsid w:val="00B9036B"/>
    <w:rsid w:val="00BA3B46"/>
    <w:rsid w:val="00BA4B86"/>
    <w:rsid w:val="00BA79BC"/>
    <w:rsid w:val="00BB1F8D"/>
    <w:rsid w:val="00BB2355"/>
    <w:rsid w:val="00BB4401"/>
    <w:rsid w:val="00BB6524"/>
    <w:rsid w:val="00BC096F"/>
    <w:rsid w:val="00BC12F6"/>
    <w:rsid w:val="00BC18F1"/>
    <w:rsid w:val="00BC4221"/>
    <w:rsid w:val="00BC7F5A"/>
    <w:rsid w:val="00BD1FDB"/>
    <w:rsid w:val="00BE0F4F"/>
    <w:rsid w:val="00BE1F6C"/>
    <w:rsid w:val="00BE2D04"/>
    <w:rsid w:val="00BE3400"/>
    <w:rsid w:val="00BE39C5"/>
    <w:rsid w:val="00BF0E7A"/>
    <w:rsid w:val="00BF316C"/>
    <w:rsid w:val="00BF53B5"/>
    <w:rsid w:val="00C02504"/>
    <w:rsid w:val="00C05592"/>
    <w:rsid w:val="00C11567"/>
    <w:rsid w:val="00C14CA8"/>
    <w:rsid w:val="00C14CEF"/>
    <w:rsid w:val="00C164F7"/>
    <w:rsid w:val="00C20671"/>
    <w:rsid w:val="00C21DB8"/>
    <w:rsid w:val="00C21F79"/>
    <w:rsid w:val="00C423E4"/>
    <w:rsid w:val="00C428AD"/>
    <w:rsid w:val="00C450C5"/>
    <w:rsid w:val="00C47F60"/>
    <w:rsid w:val="00C515CE"/>
    <w:rsid w:val="00C55CF3"/>
    <w:rsid w:val="00C66956"/>
    <w:rsid w:val="00C719DF"/>
    <w:rsid w:val="00C74B87"/>
    <w:rsid w:val="00C7522D"/>
    <w:rsid w:val="00C76065"/>
    <w:rsid w:val="00C76C0B"/>
    <w:rsid w:val="00C81AE2"/>
    <w:rsid w:val="00C9724D"/>
    <w:rsid w:val="00CA00C4"/>
    <w:rsid w:val="00CA1BFF"/>
    <w:rsid w:val="00CA4FD2"/>
    <w:rsid w:val="00CB2205"/>
    <w:rsid w:val="00CB224B"/>
    <w:rsid w:val="00CB3634"/>
    <w:rsid w:val="00CB50DE"/>
    <w:rsid w:val="00CB79B3"/>
    <w:rsid w:val="00CC19EE"/>
    <w:rsid w:val="00CC50C2"/>
    <w:rsid w:val="00CC7287"/>
    <w:rsid w:val="00CD0771"/>
    <w:rsid w:val="00CD433D"/>
    <w:rsid w:val="00CD50F2"/>
    <w:rsid w:val="00CD60E6"/>
    <w:rsid w:val="00CE3C3A"/>
    <w:rsid w:val="00CE53B1"/>
    <w:rsid w:val="00CE6108"/>
    <w:rsid w:val="00CE6B7C"/>
    <w:rsid w:val="00CE7AB3"/>
    <w:rsid w:val="00CF121D"/>
    <w:rsid w:val="00D05886"/>
    <w:rsid w:val="00D1156E"/>
    <w:rsid w:val="00D1488E"/>
    <w:rsid w:val="00D15648"/>
    <w:rsid w:val="00D17ADE"/>
    <w:rsid w:val="00D26863"/>
    <w:rsid w:val="00D30E50"/>
    <w:rsid w:val="00D32A45"/>
    <w:rsid w:val="00D363C3"/>
    <w:rsid w:val="00D36D36"/>
    <w:rsid w:val="00D44D64"/>
    <w:rsid w:val="00D5077D"/>
    <w:rsid w:val="00D53582"/>
    <w:rsid w:val="00D55A71"/>
    <w:rsid w:val="00D56EEA"/>
    <w:rsid w:val="00D63129"/>
    <w:rsid w:val="00D63723"/>
    <w:rsid w:val="00D651D6"/>
    <w:rsid w:val="00D654A7"/>
    <w:rsid w:val="00D665C1"/>
    <w:rsid w:val="00D7118D"/>
    <w:rsid w:val="00D74842"/>
    <w:rsid w:val="00D75750"/>
    <w:rsid w:val="00D7709F"/>
    <w:rsid w:val="00D82578"/>
    <w:rsid w:val="00D83AB5"/>
    <w:rsid w:val="00D83D3E"/>
    <w:rsid w:val="00D84065"/>
    <w:rsid w:val="00D8638B"/>
    <w:rsid w:val="00D93A98"/>
    <w:rsid w:val="00DA17DC"/>
    <w:rsid w:val="00DA2434"/>
    <w:rsid w:val="00DA55F2"/>
    <w:rsid w:val="00DA591F"/>
    <w:rsid w:val="00DB02FE"/>
    <w:rsid w:val="00DB2586"/>
    <w:rsid w:val="00DC0B9A"/>
    <w:rsid w:val="00DC3CCE"/>
    <w:rsid w:val="00DD1429"/>
    <w:rsid w:val="00DD2967"/>
    <w:rsid w:val="00DD2E3C"/>
    <w:rsid w:val="00DD47EE"/>
    <w:rsid w:val="00DD62A0"/>
    <w:rsid w:val="00DD684B"/>
    <w:rsid w:val="00DE10EF"/>
    <w:rsid w:val="00DE2543"/>
    <w:rsid w:val="00DE2615"/>
    <w:rsid w:val="00DE3011"/>
    <w:rsid w:val="00DE5026"/>
    <w:rsid w:val="00DF3D51"/>
    <w:rsid w:val="00DF7BC6"/>
    <w:rsid w:val="00E027E5"/>
    <w:rsid w:val="00E050C3"/>
    <w:rsid w:val="00E10517"/>
    <w:rsid w:val="00E1486D"/>
    <w:rsid w:val="00E166AC"/>
    <w:rsid w:val="00E236A4"/>
    <w:rsid w:val="00E25DB0"/>
    <w:rsid w:val="00E26E18"/>
    <w:rsid w:val="00E327FF"/>
    <w:rsid w:val="00E33014"/>
    <w:rsid w:val="00E3549F"/>
    <w:rsid w:val="00E35DFC"/>
    <w:rsid w:val="00E45995"/>
    <w:rsid w:val="00E521D0"/>
    <w:rsid w:val="00E54291"/>
    <w:rsid w:val="00E55B53"/>
    <w:rsid w:val="00E62A29"/>
    <w:rsid w:val="00E662A3"/>
    <w:rsid w:val="00E667FA"/>
    <w:rsid w:val="00E71AC7"/>
    <w:rsid w:val="00E71B9D"/>
    <w:rsid w:val="00E84A4E"/>
    <w:rsid w:val="00E97A38"/>
    <w:rsid w:val="00E97F19"/>
    <w:rsid w:val="00EA1998"/>
    <w:rsid w:val="00EA4104"/>
    <w:rsid w:val="00EA46CD"/>
    <w:rsid w:val="00EA4B71"/>
    <w:rsid w:val="00EB3604"/>
    <w:rsid w:val="00EB37AA"/>
    <w:rsid w:val="00EC71C9"/>
    <w:rsid w:val="00EC7DF3"/>
    <w:rsid w:val="00ED1444"/>
    <w:rsid w:val="00ED475D"/>
    <w:rsid w:val="00ED4B39"/>
    <w:rsid w:val="00EE08C3"/>
    <w:rsid w:val="00EE2051"/>
    <w:rsid w:val="00EE4C9E"/>
    <w:rsid w:val="00EE78C6"/>
    <w:rsid w:val="00EE7FC3"/>
    <w:rsid w:val="00EF248B"/>
    <w:rsid w:val="00EF27D4"/>
    <w:rsid w:val="00EF3624"/>
    <w:rsid w:val="00EF419E"/>
    <w:rsid w:val="00F1614B"/>
    <w:rsid w:val="00F17E43"/>
    <w:rsid w:val="00F17EF7"/>
    <w:rsid w:val="00F20657"/>
    <w:rsid w:val="00F250BE"/>
    <w:rsid w:val="00F25B8C"/>
    <w:rsid w:val="00F273C0"/>
    <w:rsid w:val="00F31CA5"/>
    <w:rsid w:val="00F361C4"/>
    <w:rsid w:val="00F3722E"/>
    <w:rsid w:val="00F41193"/>
    <w:rsid w:val="00F42065"/>
    <w:rsid w:val="00F450F2"/>
    <w:rsid w:val="00F45D21"/>
    <w:rsid w:val="00F52ED8"/>
    <w:rsid w:val="00F5751C"/>
    <w:rsid w:val="00F6017F"/>
    <w:rsid w:val="00F6346E"/>
    <w:rsid w:val="00F634F3"/>
    <w:rsid w:val="00F67124"/>
    <w:rsid w:val="00F755F6"/>
    <w:rsid w:val="00F75702"/>
    <w:rsid w:val="00F76E3D"/>
    <w:rsid w:val="00F77A72"/>
    <w:rsid w:val="00F83482"/>
    <w:rsid w:val="00F85493"/>
    <w:rsid w:val="00F91D62"/>
    <w:rsid w:val="00FA0731"/>
    <w:rsid w:val="00FA0811"/>
    <w:rsid w:val="00FA0CF8"/>
    <w:rsid w:val="00FA3852"/>
    <w:rsid w:val="00FA4D02"/>
    <w:rsid w:val="00FA5381"/>
    <w:rsid w:val="00FA71FF"/>
    <w:rsid w:val="00FA7249"/>
    <w:rsid w:val="00FB1333"/>
    <w:rsid w:val="00FB1757"/>
    <w:rsid w:val="00FC34B6"/>
    <w:rsid w:val="00FC3984"/>
    <w:rsid w:val="00FC3CBE"/>
    <w:rsid w:val="00FC3D46"/>
    <w:rsid w:val="00FC5CBD"/>
    <w:rsid w:val="00FC6488"/>
    <w:rsid w:val="00FC67A4"/>
    <w:rsid w:val="00FD0973"/>
    <w:rsid w:val="00FD1F3B"/>
    <w:rsid w:val="00FD32A0"/>
    <w:rsid w:val="00FD34C3"/>
    <w:rsid w:val="00FD446C"/>
    <w:rsid w:val="00FD72D2"/>
    <w:rsid w:val="00FE0C36"/>
    <w:rsid w:val="00FF067B"/>
    <w:rsid w:val="00FF2DBC"/>
    <w:rsid w:val="00FF7C1F"/>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8563"/>
  <w15:chartTrackingRefBased/>
  <w15:docId w15:val="{0DEB5591-91BA-429F-952B-183C3566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3E96"/>
  </w:style>
  <w:style w:type="paragraph" w:styleId="berschrift1">
    <w:name w:val="heading 1"/>
    <w:basedOn w:val="Standard"/>
    <w:next w:val="Standard"/>
    <w:link w:val="berschrift1Zchn"/>
    <w:uiPriority w:val="9"/>
    <w:qFormat/>
    <w:rsid w:val="00DA1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A1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A17D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A17D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A17D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A17D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17D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17D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17D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17D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A17D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17D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17D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17D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17D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17D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17D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17DC"/>
    <w:rPr>
      <w:rFonts w:eastAsiaTheme="majorEastAsia" w:cstheme="majorBidi"/>
      <w:color w:val="272727" w:themeColor="text1" w:themeTint="D8"/>
    </w:rPr>
  </w:style>
  <w:style w:type="paragraph" w:styleId="Titel">
    <w:name w:val="Title"/>
    <w:basedOn w:val="Standard"/>
    <w:next w:val="Standard"/>
    <w:link w:val="TitelZchn"/>
    <w:uiPriority w:val="10"/>
    <w:qFormat/>
    <w:rsid w:val="00DA1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17D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17D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17D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17D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A17DC"/>
    <w:rPr>
      <w:i/>
      <w:iCs/>
      <w:color w:val="404040" w:themeColor="text1" w:themeTint="BF"/>
    </w:rPr>
  </w:style>
  <w:style w:type="paragraph" w:styleId="Listenabsatz">
    <w:name w:val="List Paragraph"/>
    <w:basedOn w:val="Standard"/>
    <w:uiPriority w:val="34"/>
    <w:qFormat/>
    <w:rsid w:val="00DA17DC"/>
    <w:pPr>
      <w:ind w:left="720"/>
      <w:contextualSpacing/>
    </w:pPr>
  </w:style>
  <w:style w:type="character" w:styleId="IntensiveHervorhebung">
    <w:name w:val="Intense Emphasis"/>
    <w:basedOn w:val="Absatz-Standardschriftart"/>
    <w:uiPriority w:val="21"/>
    <w:qFormat/>
    <w:rsid w:val="00DA17DC"/>
    <w:rPr>
      <w:i/>
      <w:iCs/>
      <w:color w:val="0F4761" w:themeColor="accent1" w:themeShade="BF"/>
    </w:rPr>
  </w:style>
  <w:style w:type="paragraph" w:styleId="IntensivesZitat">
    <w:name w:val="Intense Quote"/>
    <w:basedOn w:val="Standard"/>
    <w:next w:val="Standard"/>
    <w:link w:val="IntensivesZitatZchn"/>
    <w:uiPriority w:val="30"/>
    <w:qFormat/>
    <w:rsid w:val="00DA1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A17DC"/>
    <w:rPr>
      <w:i/>
      <w:iCs/>
      <w:color w:val="0F4761" w:themeColor="accent1" w:themeShade="BF"/>
    </w:rPr>
  </w:style>
  <w:style w:type="character" w:styleId="IntensiverVerweis">
    <w:name w:val="Intense Reference"/>
    <w:basedOn w:val="Absatz-Standardschriftart"/>
    <w:uiPriority w:val="32"/>
    <w:qFormat/>
    <w:rsid w:val="00DA17DC"/>
    <w:rPr>
      <w:b/>
      <w:bCs/>
      <w:smallCaps/>
      <w:color w:val="0F4761" w:themeColor="accent1" w:themeShade="BF"/>
      <w:spacing w:val="5"/>
    </w:rPr>
  </w:style>
  <w:style w:type="paragraph" w:styleId="berarbeitung">
    <w:name w:val="Revision"/>
    <w:hidden/>
    <w:uiPriority w:val="99"/>
    <w:semiHidden/>
    <w:rsid w:val="00DA17DC"/>
    <w:pPr>
      <w:spacing w:after="0" w:line="240" w:lineRule="auto"/>
    </w:pPr>
  </w:style>
  <w:style w:type="paragraph" w:styleId="Kopfzeile">
    <w:name w:val="header"/>
    <w:basedOn w:val="Standard"/>
    <w:link w:val="KopfzeileZchn"/>
    <w:uiPriority w:val="99"/>
    <w:unhideWhenUsed/>
    <w:rsid w:val="002465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6587"/>
  </w:style>
  <w:style w:type="paragraph" w:styleId="Fuzeile">
    <w:name w:val="footer"/>
    <w:basedOn w:val="Standard"/>
    <w:link w:val="FuzeileZchn"/>
    <w:uiPriority w:val="99"/>
    <w:unhideWhenUsed/>
    <w:rsid w:val="002465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6587"/>
  </w:style>
  <w:style w:type="character" w:styleId="Kommentarzeichen">
    <w:name w:val="annotation reference"/>
    <w:basedOn w:val="Absatz-Standardschriftart"/>
    <w:uiPriority w:val="99"/>
    <w:semiHidden/>
    <w:unhideWhenUsed/>
    <w:rsid w:val="005E5E9D"/>
    <w:rPr>
      <w:sz w:val="16"/>
      <w:szCs w:val="16"/>
    </w:rPr>
  </w:style>
  <w:style w:type="paragraph" w:styleId="Kommentartext">
    <w:name w:val="annotation text"/>
    <w:basedOn w:val="Standard"/>
    <w:link w:val="KommentartextZchn"/>
    <w:uiPriority w:val="99"/>
    <w:unhideWhenUsed/>
    <w:rsid w:val="005E5E9D"/>
    <w:pPr>
      <w:spacing w:line="240" w:lineRule="auto"/>
    </w:pPr>
    <w:rPr>
      <w:sz w:val="20"/>
      <w:szCs w:val="20"/>
    </w:rPr>
  </w:style>
  <w:style w:type="character" w:customStyle="1" w:styleId="KommentartextZchn">
    <w:name w:val="Kommentartext Zchn"/>
    <w:basedOn w:val="Absatz-Standardschriftart"/>
    <w:link w:val="Kommentartext"/>
    <w:uiPriority w:val="99"/>
    <w:rsid w:val="005E5E9D"/>
    <w:rPr>
      <w:sz w:val="20"/>
      <w:szCs w:val="20"/>
    </w:rPr>
  </w:style>
  <w:style w:type="paragraph" w:styleId="Kommentarthema">
    <w:name w:val="annotation subject"/>
    <w:basedOn w:val="Kommentartext"/>
    <w:next w:val="Kommentartext"/>
    <w:link w:val="KommentarthemaZchn"/>
    <w:uiPriority w:val="99"/>
    <w:semiHidden/>
    <w:unhideWhenUsed/>
    <w:rsid w:val="005E5E9D"/>
    <w:rPr>
      <w:b/>
      <w:bCs/>
    </w:rPr>
  </w:style>
  <w:style w:type="character" w:customStyle="1" w:styleId="KommentarthemaZchn">
    <w:name w:val="Kommentarthema Zchn"/>
    <w:basedOn w:val="KommentartextZchn"/>
    <w:link w:val="Kommentarthema"/>
    <w:uiPriority w:val="99"/>
    <w:semiHidden/>
    <w:rsid w:val="005E5E9D"/>
    <w:rPr>
      <w:b/>
      <w:bCs/>
      <w:sz w:val="20"/>
      <w:szCs w:val="20"/>
    </w:rPr>
  </w:style>
  <w:style w:type="character" w:styleId="Hyperlink">
    <w:name w:val="Hyperlink"/>
    <w:basedOn w:val="Absatz-Standardschriftart"/>
    <w:uiPriority w:val="99"/>
    <w:unhideWhenUsed/>
    <w:rsid w:val="001A3BA7"/>
    <w:rPr>
      <w:color w:val="467886" w:themeColor="hyperlink"/>
      <w:u w:val="single"/>
    </w:rPr>
  </w:style>
  <w:style w:type="character" w:styleId="NichtaufgelsteErwhnung">
    <w:name w:val="Unresolved Mention"/>
    <w:basedOn w:val="Absatz-Standardschriftart"/>
    <w:uiPriority w:val="99"/>
    <w:semiHidden/>
    <w:unhideWhenUsed/>
    <w:rsid w:val="001A3BA7"/>
    <w:rPr>
      <w:color w:val="605E5C"/>
      <w:shd w:val="clear" w:color="auto" w:fill="E1DFDD"/>
    </w:rPr>
  </w:style>
  <w:style w:type="paragraph" w:styleId="Funotentext">
    <w:name w:val="footnote text"/>
    <w:basedOn w:val="Standard"/>
    <w:link w:val="FunotentextZchn"/>
    <w:uiPriority w:val="99"/>
    <w:semiHidden/>
    <w:unhideWhenUsed/>
    <w:rsid w:val="007D668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D668F"/>
    <w:rPr>
      <w:sz w:val="20"/>
      <w:szCs w:val="20"/>
    </w:rPr>
  </w:style>
  <w:style w:type="character" w:styleId="Funotenzeichen">
    <w:name w:val="footnote reference"/>
    <w:basedOn w:val="Absatz-Standardschriftart"/>
    <w:uiPriority w:val="99"/>
    <w:semiHidden/>
    <w:unhideWhenUsed/>
    <w:rsid w:val="007D668F"/>
    <w:rPr>
      <w:vertAlign w:val="superscript"/>
    </w:rPr>
  </w:style>
  <w:style w:type="character" w:styleId="BesuchterLink">
    <w:name w:val="FollowedHyperlink"/>
    <w:basedOn w:val="Absatz-Standardschriftart"/>
    <w:uiPriority w:val="99"/>
    <w:semiHidden/>
    <w:unhideWhenUsed/>
    <w:rsid w:val="003D0CBE"/>
    <w:rPr>
      <w:color w:val="96607D" w:themeColor="followedHyperlink"/>
      <w:u w:val="single"/>
    </w:rPr>
  </w:style>
  <w:style w:type="table" w:styleId="Tabellenraster">
    <w:name w:val="Table Grid"/>
    <w:basedOn w:val="NormaleTabelle"/>
    <w:uiPriority w:val="39"/>
    <w:rsid w:val="004B6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B61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72106">
      <w:bodyDiv w:val="1"/>
      <w:marLeft w:val="0"/>
      <w:marRight w:val="0"/>
      <w:marTop w:val="0"/>
      <w:marBottom w:val="0"/>
      <w:divBdr>
        <w:top w:val="none" w:sz="0" w:space="0" w:color="auto"/>
        <w:left w:val="none" w:sz="0" w:space="0" w:color="auto"/>
        <w:bottom w:val="none" w:sz="0" w:space="0" w:color="auto"/>
        <w:right w:val="none" w:sz="0" w:space="0" w:color="auto"/>
      </w:divBdr>
    </w:div>
    <w:div w:id="1359351414">
      <w:bodyDiv w:val="1"/>
      <w:marLeft w:val="0"/>
      <w:marRight w:val="0"/>
      <w:marTop w:val="0"/>
      <w:marBottom w:val="0"/>
      <w:divBdr>
        <w:top w:val="none" w:sz="0" w:space="0" w:color="auto"/>
        <w:left w:val="none" w:sz="0" w:space="0" w:color="auto"/>
        <w:bottom w:val="none" w:sz="0" w:space="0" w:color="auto"/>
        <w:right w:val="none" w:sz="0" w:space="0" w:color="auto"/>
      </w:divBdr>
    </w:div>
    <w:div w:id="21067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rchitecturesansobstacles.ch/informations-techniques/alarme-et-evacuation/"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gile.ch/fr/nos-dossiers/accessibilite/" TargetMode="External"/><Relationship Id="rId2" Type="http://schemas.openxmlformats.org/officeDocument/2006/relationships/hyperlink" Target="https://support.microsoft.com/fr-fr/office/add-ins/show-the-developer-tab" TargetMode="External"/><Relationship Id="rId1" Type="http://schemas.openxmlformats.org/officeDocument/2006/relationships/hyperlink" Target="https://agile.ch/fr/artikel/accessibilite-numerique-services-publics" TargetMode="External"/><Relationship Id="rId4" Type="http://schemas.openxmlformats.org/officeDocument/2006/relationships/hyperlink" Target="https://architecturesansobstacles.ch/publications/sia-500-constructions-sans-obstacle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6d603e2-e79f-4d05-b311-c64b12e4b9a8">3Z5CHM5U4W2M-325300238-219657</_dlc_DocId>
    <lcf76f155ced4ddcb4097134ff3c332f xmlns="2a8282ec-cb17-459f-ba7f-d093da4a3065">
      <Terms xmlns="http://schemas.microsoft.com/office/infopath/2007/PartnerControls"/>
    </lcf76f155ced4ddcb4097134ff3c332f>
    <TaxCatchAll xmlns="16d603e2-e79f-4d05-b311-c64b12e4b9a8" xsi:nil="true"/>
    <_dlc_DocIdUrl xmlns="16d603e2-e79f-4d05-b311-c64b12e4b9a8">
      <Url>https://agilech.sharepoint.com/sites/POOL/_layouts/15/DocIdRedir.aspx?ID=3Z5CHM5U4W2M-325300238-219657</Url>
      <Description>3Z5CHM5U4W2M-325300238-219657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1D5C2C6CF493EB4F81793EB930A19D96" ma:contentTypeVersion="404" ma:contentTypeDescription="Ein neues Dokument erstellen." ma:contentTypeScope="" ma:versionID="bf3d3806a321eea196037fdaeb40dcdc">
  <xsd:schema xmlns:xsd="http://www.w3.org/2001/XMLSchema" xmlns:xs="http://www.w3.org/2001/XMLSchema" xmlns:p="http://schemas.microsoft.com/office/2006/metadata/properties" xmlns:ns2="16d603e2-e79f-4d05-b311-c64b12e4b9a8" xmlns:ns3="2a8282ec-cb17-459f-ba7f-d093da4a3065" targetNamespace="http://schemas.microsoft.com/office/2006/metadata/properties" ma:root="true" ma:fieldsID="cb967150727ccf4cd99dfb8c612dd451" ns2:_="" ns3:_="">
    <xsd:import namespace="16d603e2-e79f-4d05-b311-c64b12e4b9a8"/>
    <xsd:import namespace="2a8282ec-cb17-459f-ba7f-d093da4a306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603e2-e79f-4d05-b311-c64b12e4b9a8"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572784c1-aeb4-4188-a92c-f9a9f5933c1f}" ma:internalName="TaxCatchAll" ma:showField="CatchAllData" ma:web="16d603e2-e79f-4d05-b311-c64b12e4b9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8282ec-cb17-459f-ba7f-d093da4a30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d6a82296-38b2-4aef-b225-61507d1d3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A4BFA34E-A7CB-4F0A-B61F-794B9E1A45E0}">
  <ds:schemaRefs>
    <ds:schemaRef ds:uri="http://schemas.openxmlformats.org/officeDocument/2006/bibliography"/>
  </ds:schemaRefs>
</ds:datastoreItem>
</file>

<file path=customXml/itemProps2.xml><?xml version="1.0" encoding="utf-8"?>
<ds:datastoreItem xmlns:ds="http://schemas.openxmlformats.org/officeDocument/2006/customXml" ds:itemID="{F3AF8535-B662-4860-8D28-227566374EC4}">
  <ds:schemaRefs>
    <ds:schemaRef ds:uri="http://schemas.microsoft.com/office/2006/metadata/properties"/>
    <ds:schemaRef ds:uri="http://schemas.microsoft.com/office/infopath/2007/PartnerControls"/>
    <ds:schemaRef ds:uri="16d603e2-e79f-4d05-b311-c64b12e4b9a8"/>
    <ds:schemaRef ds:uri="2a8282ec-cb17-459f-ba7f-d093da4a3065"/>
  </ds:schemaRefs>
</ds:datastoreItem>
</file>

<file path=customXml/itemProps3.xml><?xml version="1.0" encoding="utf-8"?>
<ds:datastoreItem xmlns:ds="http://schemas.openxmlformats.org/officeDocument/2006/customXml" ds:itemID="{BC41E492-A4A2-4B38-BF6C-936421BAC10D}">
  <ds:schemaRefs>
    <ds:schemaRef ds:uri="http://schemas.microsoft.com/sharepoint/v3/contenttype/forms"/>
  </ds:schemaRefs>
</ds:datastoreItem>
</file>

<file path=customXml/itemProps4.xml><?xml version="1.0" encoding="utf-8"?>
<ds:datastoreItem xmlns:ds="http://schemas.openxmlformats.org/officeDocument/2006/customXml" ds:itemID="{CC8F4890-0425-4F85-B086-E9951C6E0865}">
  <ds:schemaRefs>
    <ds:schemaRef ds:uri="http://schemas.microsoft.com/sharepoint/events"/>
  </ds:schemaRefs>
</ds:datastoreItem>
</file>

<file path=customXml/itemProps5.xml><?xml version="1.0" encoding="utf-8"?>
<ds:datastoreItem xmlns:ds="http://schemas.openxmlformats.org/officeDocument/2006/customXml" ds:itemID="{9F028C52-40C1-484B-A2F2-E6B35AC4F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603e2-e79f-4d05-b311-c64b12e4b9a8"/>
    <ds:schemaRef ds:uri="2a8282ec-cb17-459f-ba7f-d093da4a3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B75D1A-2F5E-4959-B41A-5DA273EB050A}">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3291</Characters>
  <Application>Microsoft Office Word</Application>
  <DocSecurity>0</DocSecurity>
  <Lines>99</Lines>
  <Paragraphs>62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Check-list Accessibilité physique</vt:lpstr>
      <vt:lpstr>Check-list Accessibilité physique</vt:lpstr>
    </vt:vector>
  </TitlesOfParts>
  <Company/>
  <LinksUpToDate>false</LinksUpToDate>
  <CharactersWithSpaces>3792</CharactersWithSpaces>
  <SharedDoc>false</SharedDoc>
  <HLinks>
    <vt:vector size="36" baseType="variant">
      <vt:variant>
        <vt:i4>7733369</vt:i4>
      </vt:variant>
      <vt:variant>
        <vt:i4>6</vt:i4>
      </vt:variant>
      <vt:variant>
        <vt:i4>0</vt:i4>
      </vt:variant>
      <vt:variant>
        <vt:i4>5</vt:i4>
      </vt:variant>
      <vt:variant>
        <vt:lpwstr>agile.ch/unsere-themen/barrierefreiheit</vt:lpwstr>
      </vt:variant>
      <vt:variant>
        <vt:lpwstr/>
      </vt:variant>
      <vt:variant>
        <vt:i4>5439555</vt:i4>
      </vt:variant>
      <vt:variant>
        <vt:i4>3</vt:i4>
      </vt:variant>
      <vt:variant>
        <vt:i4>0</vt:i4>
      </vt:variant>
      <vt:variant>
        <vt:i4>5</vt:i4>
      </vt:variant>
      <vt:variant>
        <vt:lpwstr>https://hindernisfreie-architektur.ch/fachinformationen/alarmierung-und-evakuierung/</vt:lpwstr>
      </vt:variant>
      <vt:variant>
        <vt:lpwstr/>
      </vt:variant>
      <vt:variant>
        <vt:i4>2687093</vt:i4>
      </vt:variant>
      <vt:variant>
        <vt:i4>0</vt:i4>
      </vt:variant>
      <vt:variant>
        <vt:i4>0</vt:i4>
      </vt:variant>
      <vt:variant>
        <vt:i4>5</vt:i4>
      </vt:variant>
      <vt:variant>
        <vt:lpwstr>https://www.pro-audito.ch/rund-um-den-hoerverlust/was-sind-hoeranlagen/</vt:lpwstr>
      </vt:variant>
      <vt:variant>
        <vt:lpwstr/>
      </vt:variant>
      <vt:variant>
        <vt:i4>7536759</vt:i4>
      </vt:variant>
      <vt:variant>
        <vt:i4>6</vt:i4>
      </vt:variant>
      <vt:variant>
        <vt:i4>0</vt:i4>
      </vt:variant>
      <vt:variant>
        <vt:i4>5</vt:i4>
      </vt:variant>
      <vt:variant>
        <vt:lpwstr>https://hindernisfreie-architektur.ch/rechtliche-bestimmungen/</vt:lpwstr>
      </vt:variant>
      <vt:variant>
        <vt:lpwstr/>
      </vt:variant>
      <vt:variant>
        <vt:i4>2818125</vt:i4>
      </vt:variant>
      <vt:variant>
        <vt:i4>3</vt:i4>
      </vt:variant>
      <vt:variant>
        <vt:i4>0</vt:i4>
      </vt:variant>
      <vt:variant>
        <vt:i4>5</vt:i4>
      </vt:variant>
      <vt:variant>
        <vt:lpwstr>https://hindernisfreie-architektur.ch/rechtliche_bestimmun/behindertengleichstellungsgesetz-behig/</vt:lpwstr>
      </vt:variant>
      <vt:variant>
        <vt:lpwstr/>
      </vt:variant>
      <vt:variant>
        <vt:i4>2949199</vt:i4>
      </vt:variant>
      <vt:variant>
        <vt:i4>0</vt:i4>
      </vt:variant>
      <vt:variant>
        <vt:i4>0</vt:i4>
      </vt:variant>
      <vt:variant>
        <vt:i4>5</vt:i4>
      </vt:variant>
      <vt:variant>
        <vt:lpwstr>https://hindernisfreie-architektur.ch/normen_publikationen/sia-500/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Accessibilité physique: vos locaux sont-ils accessibles?</dc:title>
  <dc:subject/>
  <dc:creator>Nicole Odermatt</dc:creator>
  <cp:keywords/>
  <dc:description/>
  <cp:lastModifiedBy>Nicole Odermatt</cp:lastModifiedBy>
  <cp:revision>119</cp:revision>
  <dcterms:created xsi:type="dcterms:W3CDTF">2026-07-02T06:21:00Z</dcterms:created>
  <dcterms:modified xsi:type="dcterms:W3CDTF">2026-07-07T12:41:00Z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0x0101001D5C2C6CF493EB4F81793EB930A19D96</vt:lpwstr>
  </property>
  <property fmtid="{D5CDD505-2E9C-101B-9397-08002B2CF9AE}" pid="4" name="_dlc_DocIdItemGuid">
    <vt:lpwstr>2e4b2e3a-f667-4f37-a4dc-881982492fed</vt:lpwstr>
  </property>
  <property fmtid="{D5CDD505-2E9C-101B-9397-08002B2CF9AE}" pid="5" name="docLang">
    <vt:lpwstr>de</vt:lpwstr>
  </property>
</Properties>
</file>